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tblpX="-141" w:tblpY="766"/>
        <w:tblOverlap w:val="never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60"/>
        <w:gridCol w:w="5368"/>
      </w:tblGrid>
      <w:tr w:rsidR="00AB6BA9" w:rsidRPr="009C6E3D" w14:paraId="1678E4FD" w14:textId="77777777" w:rsidTr="0050328B">
        <w:trPr>
          <w:cantSplit/>
          <w:trHeight w:val="839"/>
        </w:trPr>
        <w:tc>
          <w:tcPr>
            <w:tcW w:w="4112" w:type="dxa"/>
            <w:tcMar>
              <w:left w:w="0" w:type="dxa"/>
              <w:right w:w="0" w:type="dxa"/>
            </w:tcMar>
          </w:tcPr>
          <w:p w14:paraId="5207E5C4" w14:textId="77777777" w:rsidR="00AB6BA9" w:rsidRPr="009C6E3D" w:rsidRDefault="009C6E3D" w:rsidP="0043068A">
            <w:r>
              <w:rPr>
                <w:noProof/>
              </w:rPr>
              <w:drawing>
                <wp:inline distT="0" distB="0" distL="0" distR="0" wp14:anchorId="6DA816ED" wp14:editId="64847722">
                  <wp:extent cx="1689100" cy="546100"/>
                  <wp:effectExtent l="0" t="0" r="6350" b="6350"/>
                  <wp:docPr id="2" name="Billede 2" descr="Logo" title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14:paraId="140663D3" w14:textId="77777777" w:rsidR="00AB6BA9" w:rsidRPr="009C6E3D" w:rsidRDefault="00AB6BA9" w:rsidP="0043068A">
            <w:pPr>
              <w:pStyle w:val="Sidehoved"/>
              <w:spacing w:after="0"/>
              <w:ind w:right="-1204"/>
            </w:pPr>
          </w:p>
        </w:tc>
        <w:tc>
          <w:tcPr>
            <w:tcW w:w="5368" w:type="dxa"/>
            <w:tcMar>
              <w:left w:w="68" w:type="dxa"/>
              <w:right w:w="68" w:type="dxa"/>
            </w:tcMar>
          </w:tcPr>
          <w:p w14:paraId="54306467" w14:textId="77777777" w:rsidR="00AB6BA9" w:rsidRPr="00F71EC3" w:rsidRDefault="00AB6BA9" w:rsidP="0043068A">
            <w:pPr>
              <w:pStyle w:val="SidehovedNotat"/>
              <w:rPr>
                <w:color w:val="000000" w:themeColor="text1"/>
              </w:rPr>
            </w:pPr>
            <w:r w:rsidRPr="00F71EC3">
              <w:rPr>
                <w:color w:val="000000" w:themeColor="text1"/>
              </w:rPr>
              <w:t>NOTAT</w:t>
            </w:r>
          </w:p>
          <w:p w14:paraId="5F889995" w14:textId="77777777" w:rsidR="00AB6BA9" w:rsidRPr="009C6E3D" w:rsidRDefault="00AB6BA9" w:rsidP="0043068A">
            <w:pPr>
              <w:pStyle w:val="Sidehoved"/>
              <w:spacing w:after="0"/>
              <w:jc w:val="right"/>
              <w:rPr>
                <w:b/>
                <w:sz w:val="18"/>
                <w:szCs w:val="18"/>
              </w:rPr>
            </w:pPr>
          </w:p>
        </w:tc>
      </w:tr>
    </w:tbl>
    <w:tbl>
      <w:tblPr>
        <w:tblpPr w:vertAnchor="page" w:tblpX="-67" w:tblpY="1674"/>
        <w:tblOverlap w:val="never"/>
        <w:tblW w:w="956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5387"/>
      </w:tblGrid>
      <w:tr w:rsidR="00AB6BA9" w:rsidRPr="009C6E3D" w14:paraId="6B9B34B1" w14:textId="77777777" w:rsidTr="00493A0A">
        <w:trPr>
          <w:cantSplit/>
          <w:trHeight w:val="284"/>
        </w:trPr>
        <w:tc>
          <w:tcPr>
            <w:tcW w:w="779" w:type="dxa"/>
          </w:tcPr>
          <w:p w14:paraId="36F57B0D" w14:textId="77777777" w:rsidR="00AB6BA9" w:rsidRPr="009C6E3D" w:rsidRDefault="00AB6BA9" w:rsidP="0043068A">
            <w:pPr>
              <w:spacing w:line="200" w:lineRule="exact"/>
              <w:rPr>
                <w:sz w:val="16"/>
              </w:rPr>
            </w:pPr>
          </w:p>
        </w:tc>
        <w:tc>
          <w:tcPr>
            <w:tcW w:w="3402" w:type="dxa"/>
            <w:tcMar>
              <w:left w:w="68" w:type="dxa"/>
            </w:tcMar>
          </w:tcPr>
          <w:p w14:paraId="027E83F5" w14:textId="77777777" w:rsidR="00AB6BA9" w:rsidRPr="009C6E3D" w:rsidRDefault="00E27F93" w:rsidP="009C6E3D">
            <w:pPr>
              <w:pStyle w:val="SidehovedEnhed"/>
            </w:pPr>
            <w:r>
              <w:t>Børne- og Ungerådgivningscentret</w:t>
            </w:r>
          </w:p>
        </w:tc>
        <w:tc>
          <w:tcPr>
            <w:tcW w:w="5387" w:type="dxa"/>
            <w:tcMar>
              <w:left w:w="68" w:type="dxa"/>
              <w:right w:w="68" w:type="dxa"/>
            </w:tcMar>
          </w:tcPr>
          <w:p w14:paraId="4A990680" w14:textId="655A30B1" w:rsidR="00AB6BA9" w:rsidRPr="009C6E3D" w:rsidRDefault="00F12127" w:rsidP="009C6E3D">
            <w:pPr>
              <w:pStyle w:val="SidehovedDato"/>
            </w:pPr>
            <w:r>
              <w:t>30</w:t>
            </w:r>
            <w:r w:rsidR="009C6E3D" w:rsidRPr="009C6E3D">
              <w:t>-0</w:t>
            </w:r>
            <w:r w:rsidR="00265653">
              <w:t>1</w:t>
            </w:r>
            <w:r w:rsidR="009C6E3D" w:rsidRPr="009C6E3D">
              <w:t>-202</w:t>
            </w:r>
            <w:r w:rsidR="000172F9">
              <w:t>2</w:t>
            </w:r>
          </w:p>
        </w:tc>
      </w:tr>
    </w:tbl>
    <w:p w14:paraId="3C415320" w14:textId="66A85B78" w:rsidR="00B44B74" w:rsidRPr="00630956" w:rsidRDefault="009C6E3D" w:rsidP="009C6E3D">
      <w:pPr>
        <w:pStyle w:val="Overskrift1"/>
      </w:pPr>
      <w:r w:rsidRPr="00630956">
        <w:t xml:space="preserve">Redegørelse for underretninger </w:t>
      </w:r>
      <w:r w:rsidR="00156DFC">
        <w:t xml:space="preserve">på børne- og ungeområdet </w:t>
      </w:r>
      <w:r w:rsidRPr="00630956">
        <w:t>202</w:t>
      </w:r>
      <w:r w:rsidR="00265653">
        <w:t>2</w:t>
      </w:r>
      <w:r w:rsidRPr="00630956">
        <w:t xml:space="preserve"> </w:t>
      </w:r>
    </w:p>
    <w:p w14:paraId="311ED0F6" w14:textId="77777777" w:rsidR="008746CB" w:rsidRDefault="008746CB" w:rsidP="000E64FC">
      <w:pPr>
        <w:ind w:right="-426"/>
      </w:pPr>
    </w:p>
    <w:p w14:paraId="06433B26" w14:textId="34A282E0" w:rsidR="00321B96" w:rsidRDefault="000E64FC" w:rsidP="009A047D">
      <w:pPr>
        <w:ind w:right="-284"/>
      </w:pPr>
      <w:r w:rsidRPr="00630956">
        <w:t xml:space="preserve">Administrationen </w:t>
      </w:r>
      <w:r w:rsidR="00AD57FD">
        <w:t>redegør</w:t>
      </w:r>
      <w:r w:rsidR="009A047D">
        <w:t xml:space="preserve"> her</w:t>
      </w:r>
      <w:r w:rsidR="00AD57FD">
        <w:t xml:space="preserve"> </w:t>
      </w:r>
      <w:r w:rsidRPr="00630956">
        <w:t>for de underretninger</w:t>
      </w:r>
      <w:r w:rsidR="00AD57FD">
        <w:t xml:space="preserve">, </w:t>
      </w:r>
      <w:r w:rsidR="00ED0C5A">
        <w:t xml:space="preserve">som </w:t>
      </w:r>
      <w:r w:rsidR="00AD57FD">
        <w:t>Børne- og Ungerådgivningscentret modtog i 2022</w:t>
      </w:r>
      <w:r w:rsidR="009A047D">
        <w:t xml:space="preserve"> fra </w:t>
      </w:r>
      <w:r w:rsidR="001E40F7">
        <w:t>borger</w:t>
      </w:r>
      <w:r w:rsidR="009A047D">
        <w:t xml:space="preserve">e, fagfolk i eller udenfor kommunen, politiet, sundhedsfagligt personale eller </w:t>
      </w:r>
      <w:r w:rsidR="00197E74">
        <w:t xml:space="preserve">fra folk i </w:t>
      </w:r>
      <w:r w:rsidR="009A047D">
        <w:t xml:space="preserve">offentlige instanser, </w:t>
      </w:r>
      <w:r w:rsidR="00197E74">
        <w:t xml:space="preserve">hvor </w:t>
      </w:r>
      <w:r w:rsidR="009A047D">
        <w:t xml:space="preserve">der </w:t>
      </w:r>
      <w:r w:rsidR="001E40F7">
        <w:t xml:space="preserve">har </w:t>
      </w:r>
      <w:r w:rsidR="00197E74">
        <w:t xml:space="preserve">været </w:t>
      </w:r>
      <w:r w:rsidR="001E40F7">
        <w:t xml:space="preserve">en bekymring for, at et barn eller ung kan være i mistrivsel, eller at vedkommende </w:t>
      </w:r>
      <w:r w:rsidR="009A047D">
        <w:t xml:space="preserve">kan have </w:t>
      </w:r>
      <w:r w:rsidR="001E40F7">
        <w:t>været udsat for overgreb</w:t>
      </w:r>
      <w:r w:rsidR="009A047D">
        <w:t>, fysisk eller psykisk.</w:t>
      </w:r>
    </w:p>
    <w:p w14:paraId="754C814F" w14:textId="1309ADE9" w:rsidR="000E4CCC" w:rsidRDefault="000E4CCC" w:rsidP="009A047D">
      <w:pPr>
        <w:ind w:right="-284"/>
      </w:pPr>
    </w:p>
    <w:p w14:paraId="5C40C2BF" w14:textId="5855ED89" w:rsidR="00321B96" w:rsidRDefault="000E4CCC" w:rsidP="009A047D">
      <w:pPr>
        <w:ind w:right="-284"/>
      </w:pPr>
      <w:r>
        <w:t xml:space="preserve">Alle kan underrette kommunen </w:t>
      </w:r>
      <w:r w:rsidR="00197E74">
        <w:t xml:space="preserve">telefonisk eller </w:t>
      </w:r>
      <w:r>
        <w:t xml:space="preserve">via hjemmesiden, hvor der via </w:t>
      </w:r>
      <w:r w:rsidR="00197E74">
        <w:t xml:space="preserve">de to </w:t>
      </w:r>
      <w:r>
        <w:t xml:space="preserve">links </w:t>
      </w:r>
      <w:hyperlink r:id="rId9" w:history="1">
        <w:r w:rsidRPr="007C740B">
          <w:rPr>
            <w:rStyle w:val="Hyperlink"/>
          </w:rPr>
          <w:t>htk.dk/mistrivsel</w:t>
        </w:r>
      </w:hyperlink>
      <w:r>
        <w:t xml:space="preserve"> eller </w:t>
      </w:r>
      <w:hyperlink r:id="rId10" w:history="1">
        <w:r w:rsidRPr="007C740B">
          <w:rPr>
            <w:rStyle w:val="Hyperlink"/>
          </w:rPr>
          <w:t>htk.dk/overgreb</w:t>
        </w:r>
      </w:hyperlink>
      <w:r>
        <w:t xml:space="preserve"> er adgang til at gøre dette anonymt eller med navns nævnelse. Her findes også det lovpligtige </w:t>
      </w:r>
      <w:r w:rsidRPr="000E4CCC">
        <w:t>'Beredskab i sager med vold og seksuelle overgreb mod børn og unge'</w:t>
      </w:r>
      <w:r>
        <w:t xml:space="preserve">. </w:t>
      </w:r>
      <w:r w:rsidRPr="000E4CCC">
        <w:t xml:space="preserve">Byrådet </w:t>
      </w:r>
      <w:r>
        <w:t xml:space="preserve">behandlede senest denne handleguide den </w:t>
      </w:r>
      <w:r w:rsidRPr="000E4CCC">
        <w:t>19. april 2022</w:t>
      </w:r>
      <w:r>
        <w:t xml:space="preserve"> og </w:t>
      </w:r>
      <w:r w:rsidRPr="000E4CCC">
        <w:t xml:space="preserve">godkendte </w:t>
      </w:r>
      <w:r>
        <w:t xml:space="preserve">samtidig </w:t>
      </w:r>
      <w:r w:rsidRPr="000E4CCC">
        <w:t>'Handlevejledning ved overgreb mod barn begået af en ansat'.</w:t>
      </w:r>
      <w:r>
        <w:t xml:space="preserve"> Kommunens personale kan finde det samme materiale og skemaer på </w:t>
      </w:r>
      <w:r w:rsidR="00DE6811">
        <w:t>intranettet mitHTK.</w:t>
      </w:r>
    </w:p>
    <w:p w14:paraId="65C34422" w14:textId="7E3FF806" w:rsidR="00141D63" w:rsidRDefault="00141D63" w:rsidP="00141D63">
      <w:pPr>
        <w:pStyle w:val="Overskrift2"/>
      </w:pPr>
      <w:r>
        <w:t>Udviklingen de senere år</w:t>
      </w:r>
    </w:p>
    <w:p w14:paraId="3B7BFE17" w14:textId="76C3A1A8" w:rsidR="000E64FC" w:rsidRDefault="00151F3F" w:rsidP="009A047D">
      <w:pPr>
        <w:ind w:right="-284"/>
      </w:pPr>
      <w:r w:rsidRPr="000172F9">
        <w:rPr>
          <w:i/>
        </w:rPr>
        <w:t>Figur 1</w:t>
      </w:r>
      <w:r>
        <w:t xml:space="preserve"> </w:t>
      </w:r>
      <w:r w:rsidR="00ED0C5A">
        <w:t xml:space="preserve">viser </w:t>
      </w:r>
      <w:r>
        <w:t xml:space="preserve">udviklingen de seneste </w:t>
      </w:r>
      <w:r w:rsidR="00605AF0">
        <w:t xml:space="preserve">9 </w:t>
      </w:r>
      <w:r>
        <w:t>år</w:t>
      </w:r>
      <w:r w:rsidR="00ED0C5A">
        <w:t xml:space="preserve">, hvor de </w:t>
      </w:r>
      <w:r w:rsidR="00605AF0">
        <w:t>2</w:t>
      </w:r>
      <w:r w:rsidR="00ED0C5A">
        <w:t>.</w:t>
      </w:r>
      <w:r w:rsidR="00605AF0">
        <w:t>321 underretninger i 2022</w:t>
      </w:r>
      <w:r w:rsidR="00ED0C5A">
        <w:t xml:space="preserve"> er det </w:t>
      </w:r>
      <w:r w:rsidR="00C24D2A">
        <w:t>foreløbige toppunkt i en ubrudt vækst</w:t>
      </w:r>
      <w:r w:rsidR="00ED0C5A">
        <w:t xml:space="preserve">. </w:t>
      </w:r>
      <w:r w:rsidR="009A047D">
        <w:t>U</w:t>
      </w:r>
      <w:r w:rsidR="00ED0C5A">
        <w:t>nderretninger</w:t>
      </w:r>
      <w:r w:rsidR="009A047D">
        <w:t>ne</w:t>
      </w:r>
      <w:r w:rsidR="00ED0C5A">
        <w:t xml:space="preserve"> er fordelt på 1.256 børn, hvilket vil sige, at der for hvert barn gennemsnitligt </w:t>
      </w:r>
      <w:r w:rsidR="009A047D">
        <w:t xml:space="preserve">blev modtaget </w:t>
      </w:r>
      <w:r w:rsidR="00ED0C5A">
        <w:t>1,85 underretning</w:t>
      </w:r>
      <w:r w:rsidR="009A047D">
        <w:t xml:space="preserve"> i årets løb</w:t>
      </w:r>
      <w:r w:rsidR="001E40F7">
        <w:t>.</w:t>
      </w:r>
      <w:r w:rsidR="00ED0C5A">
        <w:t xml:space="preserve"> </w:t>
      </w:r>
      <w:r w:rsidR="001E40F7">
        <w:t xml:space="preserve">I 2014 var det </w:t>
      </w:r>
      <w:r w:rsidR="00ED0C5A">
        <w:t>1,35.</w:t>
      </w:r>
    </w:p>
    <w:p w14:paraId="4A1DA510" w14:textId="6E523A8A" w:rsidR="005029E8" w:rsidRDefault="005029E8" w:rsidP="009A047D">
      <w:pPr>
        <w:ind w:right="-284"/>
      </w:pPr>
    </w:p>
    <w:p w14:paraId="24DCA468" w14:textId="62EBD0F8" w:rsidR="005029E8" w:rsidRPr="00630956" w:rsidRDefault="005029E8" w:rsidP="009A047D">
      <w:pPr>
        <w:ind w:right="-284"/>
      </w:pPr>
      <w:r>
        <w:t>Byrådet bakkede i december 2022 op bag administrationens forslag om at omstille personaleressourcer til Familieafdelingen for at kunne håndtere det opståede pres på serviceniveauet, der følger af væksten i underretninger. Administrationen fik her mulighed for at omstille et årsværk til akutteamet, så der nu er fire sagsbehandlere til at håndtere underretningerne.</w:t>
      </w:r>
    </w:p>
    <w:p w14:paraId="1ECF96FE" w14:textId="77777777" w:rsidR="000E64FC" w:rsidRPr="00630956" w:rsidRDefault="000E64FC" w:rsidP="000E64FC">
      <w:pPr>
        <w:ind w:right="-426"/>
      </w:pPr>
    </w:p>
    <w:p w14:paraId="1CE05190" w14:textId="5D37A919" w:rsidR="000E64FC" w:rsidRPr="00B14A66" w:rsidRDefault="00A435FE" w:rsidP="00446FDE">
      <w:pPr>
        <w:pStyle w:val="Tabel-figur"/>
        <w:rPr>
          <w:b w:val="0"/>
          <w:bCs/>
          <w:i/>
          <w:iCs/>
        </w:rPr>
      </w:pPr>
      <w:r w:rsidRPr="00B14A66">
        <w:rPr>
          <w:b w:val="0"/>
          <w:bCs/>
          <w:i/>
          <w:iCs/>
        </w:rPr>
        <w:t>Figur 1</w:t>
      </w:r>
      <w:r w:rsidR="00446FDE" w:rsidRPr="00B14A66">
        <w:rPr>
          <w:b w:val="0"/>
          <w:bCs/>
          <w:i/>
          <w:iCs/>
        </w:rPr>
        <w:br/>
      </w:r>
      <w:r w:rsidR="000E64FC" w:rsidRPr="00B14A66">
        <w:rPr>
          <w:b w:val="0"/>
          <w:bCs/>
          <w:i/>
          <w:iCs/>
        </w:rPr>
        <w:t>Antal underretninger 2014-202</w:t>
      </w:r>
      <w:r w:rsidR="00AD57FD" w:rsidRPr="00B14A66">
        <w:rPr>
          <w:b w:val="0"/>
          <w:bCs/>
          <w:i/>
          <w:iCs/>
        </w:rPr>
        <w:t>2</w:t>
      </w:r>
    </w:p>
    <w:p w14:paraId="64A5B922" w14:textId="77777777" w:rsidR="000E64FC" w:rsidRPr="00630956" w:rsidRDefault="000E64FC" w:rsidP="000E64FC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44BC338E" w14:textId="35B39FE3" w:rsidR="000E64FC" w:rsidRPr="00630956" w:rsidRDefault="00AD57FD" w:rsidP="000E64FC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noProof/>
        </w:rPr>
        <w:drawing>
          <wp:inline distT="0" distB="0" distL="0" distR="0" wp14:anchorId="4709A38D" wp14:editId="6C35D38A">
            <wp:extent cx="5923722" cy="3404235"/>
            <wp:effectExtent l="0" t="0" r="1270" b="5715"/>
            <wp:docPr id="18" name="Diagram 18">
              <a:extLst xmlns:a="http://schemas.openxmlformats.org/drawingml/2006/main">
                <a:ext uri="{FF2B5EF4-FFF2-40B4-BE49-F238E27FC236}">
                  <a16:creationId xmlns:a16="http://schemas.microsoft.com/office/drawing/2014/main" id="{0D68C021-7495-4A37-9E4F-87F1EA9629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129F23" w14:textId="77777777" w:rsidR="000172F9" w:rsidRDefault="000172F9" w:rsidP="000E64FC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CD531BB" w14:textId="1A80850E" w:rsidR="00D4579A" w:rsidRDefault="004663CF" w:rsidP="003E6D96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iCs/>
        </w:rPr>
        <w:lastRenderedPageBreak/>
        <w:t xml:space="preserve">De to linjers forskellige stejlhed er udtryk for en </w:t>
      </w:r>
      <w:r>
        <w:t>forskel i tilvækst</w:t>
      </w:r>
      <w:r w:rsidR="00213C9F">
        <w:t>en</w:t>
      </w:r>
      <w:r>
        <w:t xml:space="preserve">. </w:t>
      </w:r>
      <w:r w:rsidR="00D4579A">
        <w:t>Når d</w:t>
      </w:r>
      <w:r>
        <w:t xml:space="preserve">en røde linje </w:t>
      </w:r>
      <w:r w:rsidR="00D4579A">
        <w:t xml:space="preserve">er stejlere end den gullige, er det </w:t>
      </w:r>
      <w:r w:rsidR="00A46DC4">
        <w:t xml:space="preserve">således </w:t>
      </w:r>
      <w:r w:rsidR="00D4579A">
        <w:t xml:space="preserve">udtryk for, at antallet af underretninger vokser </w:t>
      </w:r>
      <w:r w:rsidR="00A46DC4">
        <w:t xml:space="preserve">relativt </w:t>
      </w:r>
      <w:r w:rsidR="00D4579A">
        <w:t>mere end antallet af unikke børn</w:t>
      </w:r>
      <w:r w:rsidR="00213C9F">
        <w:t>, hvor kommunen har modtaget en eller flere underretninger.</w:t>
      </w:r>
    </w:p>
    <w:p w14:paraId="6DFDD13A" w14:textId="5FB11BD5" w:rsidR="009A03B9" w:rsidRDefault="009A03B9" w:rsidP="000E64FC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4BF7CD4F" w14:textId="71354D86" w:rsidR="00C44EA5" w:rsidRDefault="0009598F" w:rsidP="005003F2">
      <w:pPr>
        <w:spacing w:line="240" w:lineRule="auto"/>
      </w:pPr>
      <w:r w:rsidRPr="00D32F08">
        <w:t>Administrationens indberetninger til fagsystemet DUBU gør det muligt at se, om en underretning kommer på et barn, der er kendt i forvejen, eller om der er tale om en ny sag.</w:t>
      </w:r>
      <w:r w:rsidR="005003F2">
        <w:t xml:space="preserve"> En ’ny sag’ er </w:t>
      </w:r>
      <w:r w:rsidR="005003F2" w:rsidRPr="005003F2">
        <w:t>en sag</w:t>
      </w:r>
      <w:r w:rsidR="005003F2">
        <w:t xml:space="preserve">, </w:t>
      </w:r>
      <w:r w:rsidR="005003F2" w:rsidRPr="005003F2">
        <w:t xml:space="preserve">som Familieafdelingen </w:t>
      </w:r>
      <w:r w:rsidR="005003F2">
        <w:t xml:space="preserve">aldrig har mødt </w:t>
      </w:r>
      <w:r w:rsidR="005003F2" w:rsidRPr="005003F2">
        <w:t xml:space="preserve">før. </w:t>
      </w:r>
      <w:r w:rsidR="005003F2">
        <w:t xml:space="preserve">Det er med andre ord ikke en underretning i en </w:t>
      </w:r>
      <w:r w:rsidR="005003F2" w:rsidRPr="005003F2">
        <w:t xml:space="preserve">eksisterende </w:t>
      </w:r>
      <w:r w:rsidR="005003F2">
        <w:t xml:space="preserve">og </w:t>
      </w:r>
      <w:r w:rsidR="005003F2" w:rsidRPr="005003F2">
        <w:t xml:space="preserve">åben sag eller </w:t>
      </w:r>
      <w:r w:rsidR="005003F2">
        <w:t xml:space="preserve">i </w:t>
      </w:r>
      <w:r w:rsidR="005003F2" w:rsidRPr="005003F2">
        <w:t>en sag</w:t>
      </w:r>
      <w:r w:rsidR="005003F2">
        <w:t xml:space="preserve">, </w:t>
      </w:r>
      <w:r w:rsidR="005003F2" w:rsidRPr="005003F2">
        <w:t>der skal genåbnes.</w:t>
      </w:r>
    </w:p>
    <w:p w14:paraId="28112595" w14:textId="77777777" w:rsidR="00C44EA5" w:rsidRDefault="00C44EA5" w:rsidP="0009598F">
      <w:pPr>
        <w:spacing w:line="240" w:lineRule="auto"/>
      </w:pPr>
    </w:p>
    <w:p w14:paraId="12443B10" w14:textId="70CA7DEE" w:rsidR="0009598F" w:rsidRPr="00D32F08" w:rsidRDefault="0009598F" w:rsidP="0009598F">
      <w:pPr>
        <w:spacing w:line="240" w:lineRule="auto"/>
      </w:pPr>
      <w:r w:rsidRPr="005003F2">
        <w:t xml:space="preserve">Dette ses i </w:t>
      </w:r>
      <w:r w:rsidRPr="005003F2">
        <w:rPr>
          <w:i/>
          <w:iCs/>
        </w:rPr>
        <w:t>figur 2</w:t>
      </w:r>
      <w:r w:rsidR="00724385" w:rsidRPr="005003F2">
        <w:t xml:space="preserve">, hvor </w:t>
      </w:r>
      <w:r w:rsidR="00C44EA5" w:rsidRPr="005003F2">
        <w:t xml:space="preserve">der af de </w:t>
      </w:r>
      <w:r w:rsidR="00724385" w:rsidRPr="005003F2">
        <w:t>1.256</w:t>
      </w:r>
      <w:r w:rsidR="00C44EA5" w:rsidRPr="005003F2">
        <w:t xml:space="preserve"> sager </w:t>
      </w:r>
      <w:r w:rsidR="00724385" w:rsidRPr="005003F2">
        <w:t xml:space="preserve">for unikke børn </w:t>
      </w:r>
      <w:r w:rsidR="00C44EA5" w:rsidRPr="005003F2">
        <w:t xml:space="preserve">i 2022, blev genereret en ny sag </w:t>
      </w:r>
      <w:r w:rsidR="00DC781C" w:rsidRPr="005003F2">
        <w:t xml:space="preserve">for </w:t>
      </w:r>
      <w:r w:rsidR="00C44EA5" w:rsidRPr="005003F2">
        <w:t xml:space="preserve">471 </w:t>
      </w:r>
      <w:r w:rsidR="00DC781C" w:rsidRPr="005003F2">
        <w:t>børn og unges vedkommende</w:t>
      </w:r>
      <w:r w:rsidR="00C44EA5" w:rsidRPr="005003F2">
        <w:t xml:space="preserve">. 38 % </w:t>
      </w:r>
      <w:r w:rsidR="00DC781C" w:rsidRPr="005003F2">
        <w:t xml:space="preserve">er altså nye sager, mens 62 % af de børn, </w:t>
      </w:r>
      <w:r w:rsidR="005003F2" w:rsidRPr="005003F2">
        <w:t xml:space="preserve">der er underrettet om, er kendt i forvejen af Familieafdelingen enten fordi sagen er igangværende sag, eller fordi det er en sag, som skal genåbnes. </w:t>
      </w:r>
      <w:r w:rsidR="00555BCD" w:rsidRPr="005003F2">
        <w:t xml:space="preserve">Den faldende andel skyldes, at væksten i underretninger vedrørende unikke børn er mindre end i væksten af </w:t>
      </w:r>
      <w:r w:rsidR="00DA5D91" w:rsidRPr="005003F2">
        <w:t xml:space="preserve">antal </w:t>
      </w:r>
      <w:r w:rsidR="00555BCD" w:rsidRPr="005003F2">
        <w:t>nye sager.</w:t>
      </w:r>
    </w:p>
    <w:p w14:paraId="5E9A952D" w14:textId="77777777" w:rsidR="0009598F" w:rsidRPr="00171FFB" w:rsidRDefault="0009598F" w:rsidP="0009598F">
      <w:pPr>
        <w:spacing w:line="240" w:lineRule="auto"/>
      </w:pPr>
    </w:p>
    <w:p w14:paraId="6B59BA4F" w14:textId="77777777" w:rsidR="0009598F" w:rsidRPr="00171FFB" w:rsidRDefault="0009598F" w:rsidP="0009598F">
      <w:pPr>
        <w:spacing w:line="240" w:lineRule="auto"/>
        <w:rPr>
          <w:i/>
          <w:iCs/>
        </w:rPr>
      </w:pPr>
      <w:r w:rsidRPr="00171FFB">
        <w:rPr>
          <w:i/>
          <w:iCs/>
        </w:rPr>
        <w:t xml:space="preserve">Figur </w:t>
      </w:r>
      <w:r>
        <w:rPr>
          <w:i/>
          <w:iCs/>
        </w:rPr>
        <w:t>2</w:t>
      </w:r>
    </w:p>
    <w:p w14:paraId="6DEF97FE" w14:textId="2651B41F" w:rsidR="0009598F" w:rsidRPr="00724385" w:rsidRDefault="0009598F" w:rsidP="0009598F">
      <w:pPr>
        <w:spacing w:line="240" w:lineRule="auto"/>
        <w:rPr>
          <w:i/>
          <w:iCs/>
        </w:rPr>
      </w:pPr>
      <w:r w:rsidRPr="00171FFB">
        <w:rPr>
          <w:i/>
          <w:iCs/>
        </w:rPr>
        <w:t>Antal underretninger, der genererer en helt ny sag, og deres andel af underretningerne fordelt på unikke børn. 2019-2022</w:t>
      </w:r>
      <w:r w:rsidRPr="00171FFB">
        <w:t xml:space="preserve"> </w:t>
      </w:r>
    </w:p>
    <w:p w14:paraId="1BA6EC87" w14:textId="77777777" w:rsidR="0009598F" w:rsidRPr="00171FFB" w:rsidRDefault="0009598F" w:rsidP="0009598F">
      <w:pPr>
        <w:spacing w:line="240" w:lineRule="auto"/>
      </w:pPr>
    </w:p>
    <w:p w14:paraId="6DCCB741" w14:textId="77777777" w:rsidR="0009598F" w:rsidRDefault="0009598F" w:rsidP="0009598F">
      <w:pPr>
        <w:spacing w:line="240" w:lineRule="auto"/>
      </w:pPr>
      <w:r>
        <w:rPr>
          <w:noProof/>
        </w:rPr>
        <w:drawing>
          <wp:inline distT="0" distB="0" distL="0" distR="0" wp14:anchorId="3267F1B7" wp14:editId="65B5E55C">
            <wp:extent cx="5760720" cy="3403600"/>
            <wp:effectExtent l="0" t="0" r="11430" b="635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89EA08D1-B1A0-4E54-AAF1-F518DF62FB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9F2C00" w14:textId="77777777" w:rsidR="0009598F" w:rsidRDefault="0009598F" w:rsidP="0009598F">
      <w:pPr>
        <w:spacing w:line="240" w:lineRule="auto"/>
      </w:pPr>
    </w:p>
    <w:p w14:paraId="1A2ED8EA" w14:textId="77777777" w:rsidR="0009598F" w:rsidRDefault="0009598F" w:rsidP="00522A2F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EB3740A" w14:textId="69115087" w:rsidR="00292339" w:rsidRDefault="00827A3A" w:rsidP="00522A2F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I </w:t>
      </w:r>
      <w:r w:rsidRPr="006B7BE9">
        <w:rPr>
          <w:i/>
        </w:rPr>
        <w:t xml:space="preserve">figur </w:t>
      </w:r>
      <w:r w:rsidR="0009598F">
        <w:rPr>
          <w:i/>
        </w:rPr>
        <w:t>3</w:t>
      </w:r>
      <w:r>
        <w:t xml:space="preserve"> </w:t>
      </w:r>
      <w:r w:rsidR="00522A2F">
        <w:t xml:space="preserve">gengives de modtagne underretninger </w:t>
      </w:r>
      <w:r w:rsidR="00EC4593">
        <w:t xml:space="preserve">måned for måned </w:t>
      </w:r>
      <w:r w:rsidR="00F42CAE">
        <w:t>de seneste to år.</w:t>
      </w:r>
      <w:r w:rsidR="00292339">
        <w:t xml:space="preserve"> Ud over væksten i underretninger er tendensen den samme som tidligere</w:t>
      </w:r>
      <w:r w:rsidR="00140BA0">
        <w:t xml:space="preserve"> år</w:t>
      </w:r>
      <w:r w:rsidR="00292339">
        <w:t xml:space="preserve">, nemlig </w:t>
      </w:r>
      <w:r w:rsidR="00463AD0">
        <w:t>at underretningerne typisk stiger 1-2 måneder efter jule- og sommerferier</w:t>
      </w:r>
      <w:r w:rsidR="00F12127">
        <w:t>ne</w:t>
      </w:r>
      <w:r w:rsidR="00140BA0">
        <w:t xml:space="preserve">, hvor der i især </w:t>
      </w:r>
      <w:r w:rsidR="00292339">
        <w:t>september</w:t>
      </w:r>
      <w:r w:rsidR="00140BA0">
        <w:t xml:space="preserve"> er en stor tilvækst i forhold til månederne forinden.</w:t>
      </w:r>
    </w:p>
    <w:p w14:paraId="5583BBCA" w14:textId="0A61FCFD" w:rsidR="00493955" w:rsidRDefault="00493955" w:rsidP="00522A2F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287316E" w14:textId="77777777" w:rsidR="00586B13" w:rsidRDefault="00586B13" w:rsidP="00586B1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I redegørelsen for 2021, som Institutions- og Skoleudvalget fik i april 2022, adresseredes de måneder i 2020-21, hvor der havde været nedlukning af samfundet på grund af Covid-19 smitte. Midt i december 2021 blev skoleeleverne sendt på tidlig juleferie men kunne vende tilbage lige efter nytår. Restriktionerne ophørte med udgangen af januar 2022.</w:t>
      </w:r>
    </w:p>
    <w:p w14:paraId="67801623" w14:textId="77777777" w:rsidR="00586B13" w:rsidRDefault="00586B13" w:rsidP="00586B1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 </w:t>
      </w:r>
    </w:p>
    <w:p w14:paraId="37DE1A00" w14:textId="77777777" w:rsidR="00586B13" w:rsidRDefault="00586B13" w:rsidP="00586B1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En antagelse om, at en nedlukning af samfundet ville afspejles i færre underretninger i de nedlukkede måneder og flere umiddelbart efter, kunne ikke bekræftes i redegørelsen for 2021 og således heller ikke i forhold til antal underretninger i januar-februar 2022. Samlet over perioden 2020-22 er der ingen sådanne markante ændringer i de genåbnede måneder.</w:t>
      </w:r>
    </w:p>
    <w:p w14:paraId="6C331D2C" w14:textId="7FF301B7" w:rsidR="00586B13" w:rsidRDefault="00586B13" w:rsidP="00522A2F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895B681" w14:textId="5E98514F" w:rsidR="00586B13" w:rsidRDefault="00586B13">
      <w:pPr>
        <w:spacing w:line="240" w:lineRule="auto"/>
      </w:pPr>
      <w:r>
        <w:br w:type="page"/>
      </w:r>
    </w:p>
    <w:p w14:paraId="14741F57" w14:textId="77777777" w:rsidR="00586B13" w:rsidRDefault="00586B13" w:rsidP="00522A2F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4E8B07B3" w14:textId="086A8ED8" w:rsidR="000E64FC" w:rsidRPr="00B14A66" w:rsidRDefault="00A435FE" w:rsidP="009B7590">
      <w:pPr>
        <w:pStyle w:val="Tabel-figur"/>
        <w:rPr>
          <w:b w:val="0"/>
          <w:bCs/>
          <w:i/>
          <w:iCs/>
        </w:rPr>
      </w:pPr>
      <w:r w:rsidRPr="00B14A66">
        <w:rPr>
          <w:b w:val="0"/>
          <w:bCs/>
          <w:i/>
          <w:iCs/>
        </w:rPr>
        <w:t xml:space="preserve">Figur </w:t>
      </w:r>
      <w:r w:rsidR="0009598F">
        <w:rPr>
          <w:b w:val="0"/>
          <w:bCs/>
          <w:i/>
          <w:iCs/>
        </w:rPr>
        <w:t>3</w:t>
      </w:r>
      <w:r w:rsidR="00446FDE" w:rsidRPr="00B14A66">
        <w:rPr>
          <w:b w:val="0"/>
          <w:bCs/>
          <w:i/>
          <w:iCs/>
        </w:rPr>
        <w:br/>
      </w:r>
      <w:r w:rsidR="000E64FC" w:rsidRPr="00B14A66">
        <w:rPr>
          <w:b w:val="0"/>
          <w:bCs/>
          <w:i/>
          <w:iCs/>
        </w:rPr>
        <w:t>Månedsvis fordeling</w:t>
      </w:r>
      <w:r w:rsidRPr="00B14A66">
        <w:rPr>
          <w:b w:val="0"/>
          <w:bCs/>
          <w:i/>
          <w:iCs/>
        </w:rPr>
        <w:t xml:space="preserve"> af underretninger, dec</w:t>
      </w:r>
      <w:r w:rsidR="003E62A3" w:rsidRPr="00B14A66">
        <w:rPr>
          <w:b w:val="0"/>
          <w:bCs/>
          <w:i/>
          <w:iCs/>
        </w:rPr>
        <w:t xml:space="preserve">ember </w:t>
      </w:r>
      <w:r w:rsidRPr="00B14A66">
        <w:rPr>
          <w:b w:val="0"/>
          <w:bCs/>
          <w:i/>
          <w:iCs/>
        </w:rPr>
        <w:t>20</w:t>
      </w:r>
      <w:r w:rsidR="006E66A3" w:rsidRPr="00B14A66">
        <w:rPr>
          <w:b w:val="0"/>
          <w:bCs/>
          <w:i/>
          <w:iCs/>
        </w:rPr>
        <w:t>20</w:t>
      </w:r>
      <w:r w:rsidR="003E62A3" w:rsidRPr="00B14A66">
        <w:rPr>
          <w:b w:val="0"/>
          <w:bCs/>
          <w:i/>
          <w:iCs/>
        </w:rPr>
        <w:t xml:space="preserve"> </w:t>
      </w:r>
      <w:r w:rsidRPr="00B14A66">
        <w:rPr>
          <w:b w:val="0"/>
          <w:bCs/>
          <w:i/>
          <w:iCs/>
        </w:rPr>
        <w:t>-</w:t>
      </w:r>
      <w:r w:rsidR="003E62A3" w:rsidRPr="00B14A66">
        <w:rPr>
          <w:b w:val="0"/>
          <w:bCs/>
          <w:i/>
          <w:iCs/>
        </w:rPr>
        <w:t xml:space="preserve"> </w:t>
      </w:r>
      <w:r w:rsidRPr="00B14A66">
        <w:rPr>
          <w:b w:val="0"/>
          <w:bCs/>
          <w:i/>
          <w:iCs/>
        </w:rPr>
        <w:t>dec</w:t>
      </w:r>
      <w:r w:rsidR="003E62A3" w:rsidRPr="00B14A66">
        <w:rPr>
          <w:b w:val="0"/>
          <w:bCs/>
          <w:i/>
          <w:iCs/>
        </w:rPr>
        <w:t>ember</w:t>
      </w:r>
      <w:r w:rsidRPr="00B14A66">
        <w:rPr>
          <w:b w:val="0"/>
          <w:bCs/>
          <w:i/>
          <w:iCs/>
        </w:rPr>
        <w:t xml:space="preserve"> 202</w:t>
      </w:r>
      <w:r w:rsidR="006E66A3" w:rsidRPr="00B14A66">
        <w:rPr>
          <w:b w:val="0"/>
          <w:bCs/>
          <w:i/>
          <w:iCs/>
        </w:rPr>
        <w:t>2</w:t>
      </w:r>
      <w:r w:rsidR="005029E8" w:rsidRPr="00B14A66">
        <w:rPr>
          <w:b w:val="0"/>
          <w:bCs/>
          <w:i/>
          <w:iCs/>
        </w:rPr>
        <w:t>.</w:t>
      </w:r>
    </w:p>
    <w:p w14:paraId="46B34C8C" w14:textId="1198122D" w:rsidR="001D485E" w:rsidRPr="00630956" w:rsidRDefault="00F42CAE" w:rsidP="000E64FC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noProof/>
        </w:rPr>
        <w:drawing>
          <wp:inline distT="0" distB="0" distL="0" distR="0" wp14:anchorId="11FE0112" wp14:editId="68013E8E">
            <wp:extent cx="5400000" cy="2890800"/>
            <wp:effectExtent l="0" t="0" r="10795" b="508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669CCE2-9719-4334-8040-91A89E7B92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06E88C" w14:textId="45E305B3" w:rsidR="00141D63" w:rsidRDefault="00141D63" w:rsidP="000E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sz w:val="18"/>
        </w:rPr>
      </w:pPr>
      <w:r w:rsidRPr="00901F73">
        <w:rPr>
          <w:b/>
          <w:sz w:val="18"/>
        </w:rPr>
        <w:t>Note</w:t>
      </w:r>
      <w:r w:rsidRPr="00901F73">
        <w:rPr>
          <w:sz w:val="18"/>
        </w:rPr>
        <w:t xml:space="preserve">: Måneder med </w:t>
      </w:r>
      <w:r>
        <w:rPr>
          <w:sz w:val="18"/>
        </w:rPr>
        <w:t xml:space="preserve">hel eller delvis </w:t>
      </w:r>
      <w:r w:rsidRPr="00901F73">
        <w:rPr>
          <w:sz w:val="18"/>
        </w:rPr>
        <w:t xml:space="preserve">Corona-nedlukning af folkeskolerne </w:t>
      </w:r>
      <w:r>
        <w:rPr>
          <w:sz w:val="18"/>
        </w:rPr>
        <w:t xml:space="preserve">har </w:t>
      </w:r>
      <w:r w:rsidRPr="00901F73">
        <w:rPr>
          <w:sz w:val="18"/>
        </w:rPr>
        <w:t>afvigende farve.</w:t>
      </w:r>
    </w:p>
    <w:p w14:paraId="6B12FBB7" w14:textId="6AF7CBA8" w:rsidR="00B06088" w:rsidRPr="00910AD7" w:rsidRDefault="00910AD7" w:rsidP="00141D63">
      <w:pPr>
        <w:pStyle w:val="Overskrift2"/>
      </w:pPr>
      <w:r w:rsidRPr="00910AD7">
        <w:t>Hvem underretter?</w:t>
      </w:r>
    </w:p>
    <w:p w14:paraId="7820F55C" w14:textId="77777777" w:rsidR="004C39DE" w:rsidRDefault="00A01573" w:rsidP="00A01573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630956">
        <w:t xml:space="preserve">Børne- og Ungerådgivningscentret registrerer i hver enkelt sag, hvem der har underrettet. </w:t>
      </w:r>
      <w:r w:rsidR="002F3FC1">
        <w:t xml:space="preserve">I </w:t>
      </w:r>
      <w:r w:rsidR="009761F7" w:rsidRPr="006B7BE9">
        <w:rPr>
          <w:i/>
        </w:rPr>
        <w:t>tabel 1</w:t>
      </w:r>
      <w:r w:rsidR="002F3FC1">
        <w:t xml:space="preserve"> ses udviklingen de senere år</w:t>
      </w:r>
      <w:r w:rsidR="004C39DE">
        <w:t>.</w:t>
      </w:r>
    </w:p>
    <w:p w14:paraId="5C5811D3" w14:textId="77777777" w:rsidR="004C39DE" w:rsidRDefault="004C39DE" w:rsidP="00A0157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24F7971" w14:textId="38A1DB2D" w:rsidR="009761F7" w:rsidRDefault="004C198E" w:rsidP="00A0157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A</w:t>
      </w:r>
      <w:r w:rsidR="004C39DE">
        <w:t xml:space="preserve">nmeldere med færre end 10 underretninger pr. år er </w:t>
      </w:r>
      <w:r>
        <w:t xml:space="preserve">i tabellen </w:t>
      </w:r>
      <w:r w:rsidR="004C39DE">
        <w:t xml:space="preserve">sammenfattet </w:t>
      </w:r>
      <w:r>
        <w:t>under</w:t>
      </w:r>
      <w:r w:rsidR="004C39DE">
        <w:t xml:space="preserve"> ’øvrige’. Det er blandt andet b</w:t>
      </w:r>
      <w:r w:rsidR="004C39DE" w:rsidRPr="004C39DE">
        <w:rPr>
          <w:bCs/>
          <w:szCs w:val="19"/>
        </w:rPr>
        <w:t>arnet/den unge</w:t>
      </w:r>
      <w:r w:rsidR="004C39DE">
        <w:rPr>
          <w:bCs/>
          <w:szCs w:val="19"/>
        </w:rPr>
        <w:t xml:space="preserve"> selv, dets </w:t>
      </w:r>
      <w:r w:rsidR="004C39DE" w:rsidRPr="004C39DE">
        <w:rPr>
          <w:bCs/>
          <w:color w:val="000000"/>
          <w:szCs w:val="19"/>
        </w:rPr>
        <w:t>netværk</w:t>
      </w:r>
      <w:r w:rsidR="004C39DE">
        <w:rPr>
          <w:bCs/>
          <w:color w:val="000000"/>
          <w:szCs w:val="19"/>
        </w:rPr>
        <w:t xml:space="preserve"> og f</w:t>
      </w:r>
      <w:r w:rsidR="004C39DE" w:rsidRPr="004C39DE">
        <w:rPr>
          <w:bCs/>
          <w:color w:val="000000"/>
          <w:szCs w:val="19"/>
        </w:rPr>
        <w:t>amiliens bekendtskabskreds</w:t>
      </w:r>
      <w:r w:rsidR="004C39DE">
        <w:rPr>
          <w:bCs/>
          <w:color w:val="000000"/>
          <w:szCs w:val="19"/>
        </w:rPr>
        <w:t xml:space="preserve">, foreninger, </w:t>
      </w:r>
      <w:r w:rsidR="004C39DE" w:rsidRPr="004C39DE">
        <w:rPr>
          <w:bCs/>
          <w:color w:val="000000"/>
          <w:szCs w:val="19"/>
        </w:rPr>
        <w:t>SSP</w:t>
      </w:r>
      <w:r w:rsidR="004C39DE">
        <w:rPr>
          <w:bCs/>
          <w:color w:val="000000"/>
          <w:szCs w:val="19"/>
        </w:rPr>
        <w:t xml:space="preserve"> og t</w:t>
      </w:r>
      <w:r w:rsidR="004C39DE" w:rsidRPr="004C39DE">
        <w:rPr>
          <w:bCs/>
          <w:szCs w:val="19"/>
        </w:rPr>
        <w:t>andplejen</w:t>
      </w:r>
      <w:r w:rsidR="004C39DE">
        <w:rPr>
          <w:bCs/>
          <w:szCs w:val="19"/>
        </w:rPr>
        <w:t>.</w:t>
      </w:r>
    </w:p>
    <w:p w14:paraId="4DF2B57F" w14:textId="77777777" w:rsidR="009761F7" w:rsidRDefault="009761F7" w:rsidP="00A0157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CD5164C" w14:textId="62B3F760" w:rsidR="00A613FE" w:rsidRDefault="00A92253" w:rsidP="00A92253">
      <w:pPr>
        <w:spacing w:line="240" w:lineRule="auto"/>
      </w:pPr>
      <w:r>
        <w:t>De fleste underretninger kom i 202</w:t>
      </w:r>
      <w:r w:rsidR="00A613FE">
        <w:t>2</w:t>
      </w:r>
      <w:r>
        <w:t xml:space="preserve"> fra </w:t>
      </w:r>
      <w:r w:rsidR="00A613FE">
        <w:t xml:space="preserve">skolerne med </w:t>
      </w:r>
      <w:r w:rsidR="00A613FE" w:rsidRPr="00A613FE">
        <w:t xml:space="preserve">16% </w:t>
      </w:r>
      <w:r w:rsidR="00A613FE">
        <w:t xml:space="preserve">af alle underretninger </w:t>
      </w:r>
      <w:r w:rsidR="004C198E">
        <w:t xml:space="preserve">mod </w:t>
      </w:r>
      <w:r w:rsidR="00A613FE" w:rsidRPr="00A613FE">
        <w:t>14</w:t>
      </w:r>
      <w:r w:rsidR="004C39DE">
        <w:t xml:space="preserve"> </w:t>
      </w:r>
      <w:r w:rsidR="00A613FE" w:rsidRPr="00A613FE">
        <w:t>% i 2021, politi</w:t>
      </w:r>
      <w:r w:rsidR="004C198E">
        <w:t>et</w:t>
      </w:r>
      <w:r w:rsidR="00A613FE" w:rsidRPr="00A613FE">
        <w:t xml:space="preserve"> med 15,6</w:t>
      </w:r>
      <w:r w:rsidR="004C39DE">
        <w:t xml:space="preserve"> </w:t>
      </w:r>
      <w:r w:rsidR="00A613FE" w:rsidRPr="00A613FE">
        <w:t>% (19</w:t>
      </w:r>
      <w:r w:rsidR="004C39DE">
        <w:t xml:space="preserve"> </w:t>
      </w:r>
      <w:r w:rsidR="00A613FE" w:rsidRPr="00A613FE">
        <w:t>% i 2021) og psykiatri</w:t>
      </w:r>
      <w:r w:rsidR="004C198E">
        <w:t>en</w:t>
      </w:r>
      <w:r w:rsidR="00A613FE" w:rsidRPr="00A613FE">
        <w:t xml:space="preserve"> med 9,5</w:t>
      </w:r>
      <w:r w:rsidR="004C39DE">
        <w:t xml:space="preserve"> </w:t>
      </w:r>
      <w:r w:rsidR="00A613FE" w:rsidRPr="00A613FE">
        <w:t>% (9,1</w:t>
      </w:r>
      <w:r w:rsidR="004C39DE">
        <w:t xml:space="preserve"> </w:t>
      </w:r>
      <w:r w:rsidR="00A613FE" w:rsidRPr="00A613FE">
        <w:t>% i 2021)</w:t>
      </w:r>
      <w:r w:rsidR="00A613FE">
        <w:t>.</w:t>
      </w:r>
      <w:r w:rsidR="00555BCD">
        <w:t xml:space="preserve"> Dette billede svarer til tidligere år.</w:t>
      </w:r>
    </w:p>
    <w:p w14:paraId="76C74FE6" w14:textId="77777777" w:rsidR="00A613FE" w:rsidRDefault="00A613FE" w:rsidP="00A92253">
      <w:pPr>
        <w:spacing w:line="240" w:lineRule="auto"/>
      </w:pPr>
    </w:p>
    <w:p w14:paraId="47C2BA03" w14:textId="5495F22E" w:rsidR="004C39DE" w:rsidRDefault="004C39DE" w:rsidP="00A01573">
      <w:pPr>
        <w:spacing w:line="240" w:lineRule="auto"/>
      </w:pPr>
      <w:r>
        <w:t xml:space="preserve">Det skal </w:t>
      </w:r>
      <w:r w:rsidR="004C198E">
        <w:t xml:space="preserve">teknisk </w:t>
      </w:r>
      <w:r>
        <w:t>bemærkes, at antallet af naboers underretninger i 2022 er påvirket af enkelte borgeres underretninger vedrørende et mindre antal familier</w:t>
      </w:r>
      <w:r w:rsidR="00AA60EE">
        <w:t xml:space="preserve"> og deres børn</w:t>
      </w:r>
      <w:r>
        <w:t xml:space="preserve">. Ses bort fra disse, svarer antallet </w:t>
      </w:r>
      <w:r w:rsidR="00AA60EE">
        <w:t xml:space="preserve">af nabounderretninger </w:t>
      </w:r>
      <w:r>
        <w:t>til 2021.</w:t>
      </w:r>
    </w:p>
    <w:p w14:paraId="010A5575" w14:textId="77777777" w:rsidR="00D94D55" w:rsidRPr="00630956" w:rsidRDefault="00D94D55" w:rsidP="00A01573">
      <w:pPr>
        <w:spacing w:line="240" w:lineRule="auto"/>
      </w:pPr>
    </w:p>
    <w:p w14:paraId="047D126B" w14:textId="29A9AD41" w:rsidR="00A01573" w:rsidRPr="00B14A66" w:rsidRDefault="00A435FE" w:rsidP="00446FDE">
      <w:pPr>
        <w:pStyle w:val="Tabel-figur"/>
        <w:rPr>
          <w:b w:val="0"/>
          <w:bCs/>
          <w:i/>
          <w:iCs/>
        </w:rPr>
      </w:pPr>
      <w:r w:rsidRPr="00B14A66">
        <w:rPr>
          <w:b w:val="0"/>
          <w:bCs/>
          <w:i/>
          <w:iCs/>
        </w:rPr>
        <w:t>Tabel 1</w:t>
      </w:r>
      <w:r w:rsidR="00446FDE" w:rsidRPr="00B14A66">
        <w:rPr>
          <w:b w:val="0"/>
          <w:bCs/>
          <w:i/>
          <w:iCs/>
        </w:rPr>
        <w:br/>
      </w:r>
      <w:r w:rsidR="00A01573" w:rsidRPr="00B14A66">
        <w:rPr>
          <w:b w:val="0"/>
          <w:bCs/>
          <w:i/>
          <w:iCs/>
        </w:rPr>
        <w:t>Underretninger, fordelt på afsender 2017-202</w:t>
      </w:r>
      <w:r w:rsidR="002F3FC1" w:rsidRPr="00B14A66">
        <w:rPr>
          <w:b w:val="0"/>
          <w:bCs/>
          <w:i/>
          <w:iCs/>
        </w:rPr>
        <w:t>2</w:t>
      </w:r>
      <w:r w:rsidR="005029E8" w:rsidRPr="00B14A66">
        <w:rPr>
          <w:b w:val="0"/>
          <w:bCs/>
          <w:i/>
          <w:iCs/>
        </w:rPr>
        <w:t>.</w:t>
      </w:r>
    </w:p>
    <w:tbl>
      <w:tblPr>
        <w:tblStyle w:val="Gittertabel4-farve3"/>
        <w:tblW w:w="5000" w:type="pct"/>
        <w:tblLook w:val="04A0" w:firstRow="1" w:lastRow="0" w:firstColumn="1" w:lastColumn="0" w:noHBand="0" w:noVBand="1"/>
      </w:tblPr>
      <w:tblGrid>
        <w:gridCol w:w="3540"/>
        <w:gridCol w:w="920"/>
        <w:gridCol w:w="920"/>
        <w:gridCol w:w="920"/>
        <w:gridCol w:w="920"/>
        <w:gridCol w:w="921"/>
        <w:gridCol w:w="921"/>
      </w:tblGrid>
      <w:tr w:rsidR="00AE2BBF" w:rsidRPr="004C39DE" w14:paraId="561A3A67" w14:textId="77777777" w:rsidTr="00586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5E1CE131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 w:themeColor="text1"/>
                <w:szCs w:val="19"/>
              </w:rPr>
              <w:t>Afsender</w:t>
            </w:r>
          </w:p>
        </w:tc>
        <w:tc>
          <w:tcPr>
            <w:tcW w:w="625" w:type="pct"/>
            <w:hideMark/>
          </w:tcPr>
          <w:p w14:paraId="14F8002D" w14:textId="77777777" w:rsidR="004C39DE" w:rsidRPr="004C39DE" w:rsidRDefault="004C39DE" w:rsidP="004C39D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 w:themeColor="text1"/>
                <w:szCs w:val="19"/>
              </w:rPr>
              <w:t>2017</w:t>
            </w:r>
          </w:p>
        </w:tc>
        <w:tc>
          <w:tcPr>
            <w:tcW w:w="625" w:type="pct"/>
            <w:hideMark/>
          </w:tcPr>
          <w:p w14:paraId="092B7CFE" w14:textId="77777777" w:rsidR="004C39DE" w:rsidRPr="004C39DE" w:rsidRDefault="004C39DE" w:rsidP="004C39D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 w:themeColor="text1"/>
                <w:szCs w:val="19"/>
              </w:rPr>
              <w:t>2018</w:t>
            </w:r>
          </w:p>
        </w:tc>
        <w:tc>
          <w:tcPr>
            <w:tcW w:w="625" w:type="pct"/>
            <w:hideMark/>
          </w:tcPr>
          <w:p w14:paraId="6466CA0D" w14:textId="77777777" w:rsidR="004C39DE" w:rsidRPr="004C39DE" w:rsidRDefault="004C39DE" w:rsidP="004C39D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 w:themeColor="text1"/>
                <w:szCs w:val="19"/>
              </w:rPr>
              <w:t>2019</w:t>
            </w:r>
          </w:p>
        </w:tc>
        <w:tc>
          <w:tcPr>
            <w:tcW w:w="625" w:type="pct"/>
            <w:hideMark/>
          </w:tcPr>
          <w:p w14:paraId="56625440" w14:textId="77777777" w:rsidR="004C39DE" w:rsidRPr="004C39DE" w:rsidRDefault="004C39DE" w:rsidP="004C39D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 w:themeColor="text1"/>
                <w:szCs w:val="19"/>
              </w:rPr>
              <w:t>2020</w:t>
            </w:r>
          </w:p>
        </w:tc>
        <w:tc>
          <w:tcPr>
            <w:tcW w:w="625" w:type="pct"/>
            <w:hideMark/>
          </w:tcPr>
          <w:p w14:paraId="1546FAF0" w14:textId="77777777" w:rsidR="004C39DE" w:rsidRPr="004C39DE" w:rsidRDefault="004C39DE" w:rsidP="004C39D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 w:themeColor="text1"/>
                <w:szCs w:val="19"/>
              </w:rPr>
              <w:t>2021</w:t>
            </w:r>
          </w:p>
        </w:tc>
        <w:tc>
          <w:tcPr>
            <w:tcW w:w="625" w:type="pct"/>
            <w:hideMark/>
          </w:tcPr>
          <w:p w14:paraId="5F157AF0" w14:textId="77777777" w:rsidR="004C39DE" w:rsidRPr="004C39DE" w:rsidRDefault="004C39DE" w:rsidP="004C39D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 w:themeColor="text1"/>
                <w:szCs w:val="19"/>
              </w:rPr>
              <w:t>2022</w:t>
            </w:r>
          </w:p>
        </w:tc>
      </w:tr>
      <w:tr w:rsidR="00AE2BBF" w:rsidRPr="004C39DE" w14:paraId="59AFC4BF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473F6CDD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Anbringelsessted</w:t>
            </w:r>
          </w:p>
        </w:tc>
        <w:tc>
          <w:tcPr>
            <w:tcW w:w="625" w:type="pct"/>
            <w:hideMark/>
          </w:tcPr>
          <w:p w14:paraId="67404641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8</w:t>
            </w:r>
          </w:p>
        </w:tc>
        <w:tc>
          <w:tcPr>
            <w:tcW w:w="625" w:type="pct"/>
            <w:hideMark/>
          </w:tcPr>
          <w:p w14:paraId="27D42200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13</w:t>
            </w:r>
          </w:p>
        </w:tc>
        <w:tc>
          <w:tcPr>
            <w:tcW w:w="625" w:type="pct"/>
            <w:hideMark/>
          </w:tcPr>
          <w:p w14:paraId="1029338B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11</w:t>
            </w:r>
          </w:p>
        </w:tc>
        <w:tc>
          <w:tcPr>
            <w:tcW w:w="625" w:type="pct"/>
            <w:hideMark/>
          </w:tcPr>
          <w:p w14:paraId="17AB114C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9</w:t>
            </w:r>
          </w:p>
        </w:tc>
        <w:tc>
          <w:tcPr>
            <w:tcW w:w="625" w:type="pct"/>
            <w:hideMark/>
          </w:tcPr>
          <w:p w14:paraId="18C3541F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39</w:t>
            </w:r>
          </w:p>
        </w:tc>
        <w:tc>
          <w:tcPr>
            <w:tcW w:w="625" w:type="pct"/>
            <w:hideMark/>
          </w:tcPr>
          <w:p w14:paraId="187EF5FE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58</w:t>
            </w:r>
          </w:p>
        </w:tc>
      </w:tr>
      <w:tr w:rsidR="004C39DE" w:rsidRPr="004C39DE" w14:paraId="4A5A611F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471BCB6C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Anden kommunal afdeling</w:t>
            </w:r>
          </w:p>
        </w:tc>
        <w:tc>
          <w:tcPr>
            <w:tcW w:w="625" w:type="pct"/>
            <w:hideMark/>
          </w:tcPr>
          <w:p w14:paraId="1057C7A1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105</w:t>
            </w:r>
          </w:p>
        </w:tc>
        <w:tc>
          <w:tcPr>
            <w:tcW w:w="625" w:type="pct"/>
            <w:hideMark/>
          </w:tcPr>
          <w:p w14:paraId="1292135A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200</w:t>
            </w:r>
          </w:p>
        </w:tc>
        <w:tc>
          <w:tcPr>
            <w:tcW w:w="625" w:type="pct"/>
            <w:hideMark/>
          </w:tcPr>
          <w:p w14:paraId="08FD2F74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178</w:t>
            </w:r>
          </w:p>
        </w:tc>
        <w:tc>
          <w:tcPr>
            <w:tcW w:w="625" w:type="pct"/>
            <w:hideMark/>
          </w:tcPr>
          <w:p w14:paraId="74121AC0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143</w:t>
            </w:r>
          </w:p>
        </w:tc>
        <w:tc>
          <w:tcPr>
            <w:tcW w:w="625" w:type="pct"/>
            <w:hideMark/>
          </w:tcPr>
          <w:p w14:paraId="75993EFE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261</w:t>
            </w:r>
          </w:p>
        </w:tc>
        <w:tc>
          <w:tcPr>
            <w:tcW w:w="625" w:type="pct"/>
            <w:hideMark/>
          </w:tcPr>
          <w:p w14:paraId="1312913C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199</w:t>
            </w:r>
          </w:p>
        </w:tc>
      </w:tr>
      <w:tr w:rsidR="00AE2BBF" w:rsidRPr="004C39DE" w14:paraId="472729CA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084CB031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Anden offentlig myndighed</w:t>
            </w:r>
          </w:p>
        </w:tc>
        <w:tc>
          <w:tcPr>
            <w:tcW w:w="625" w:type="pct"/>
            <w:hideMark/>
          </w:tcPr>
          <w:p w14:paraId="010FF7AF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27</w:t>
            </w:r>
          </w:p>
        </w:tc>
        <w:tc>
          <w:tcPr>
            <w:tcW w:w="625" w:type="pct"/>
            <w:hideMark/>
          </w:tcPr>
          <w:p w14:paraId="5C9DAAAC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52</w:t>
            </w:r>
          </w:p>
        </w:tc>
        <w:tc>
          <w:tcPr>
            <w:tcW w:w="625" w:type="pct"/>
            <w:hideMark/>
          </w:tcPr>
          <w:p w14:paraId="27A967DF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58</w:t>
            </w:r>
          </w:p>
        </w:tc>
        <w:tc>
          <w:tcPr>
            <w:tcW w:w="625" w:type="pct"/>
            <w:hideMark/>
          </w:tcPr>
          <w:p w14:paraId="29029DB8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53</w:t>
            </w:r>
          </w:p>
        </w:tc>
        <w:tc>
          <w:tcPr>
            <w:tcW w:w="625" w:type="pct"/>
            <w:hideMark/>
          </w:tcPr>
          <w:p w14:paraId="64696F2A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73</w:t>
            </w:r>
          </w:p>
        </w:tc>
        <w:tc>
          <w:tcPr>
            <w:tcW w:w="625" w:type="pct"/>
            <w:hideMark/>
          </w:tcPr>
          <w:p w14:paraId="3BDA777F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95</w:t>
            </w:r>
          </w:p>
        </w:tc>
      </w:tr>
      <w:tr w:rsidR="004C39DE" w:rsidRPr="004C39DE" w14:paraId="3B57B6D7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447AFE61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Anonym</w:t>
            </w:r>
          </w:p>
        </w:tc>
        <w:tc>
          <w:tcPr>
            <w:tcW w:w="625" w:type="pct"/>
            <w:hideMark/>
          </w:tcPr>
          <w:p w14:paraId="3D7D9A77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63</w:t>
            </w:r>
          </w:p>
        </w:tc>
        <w:tc>
          <w:tcPr>
            <w:tcW w:w="625" w:type="pct"/>
            <w:hideMark/>
          </w:tcPr>
          <w:p w14:paraId="169BAF29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83</w:t>
            </w:r>
          </w:p>
        </w:tc>
        <w:tc>
          <w:tcPr>
            <w:tcW w:w="625" w:type="pct"/>
            <w:hideMark/>
          </w:tcPr>
          <w:p w14:paraId="6D9B68E5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81</w:t>
            </w:r>
          </w:p>
        </w:tc>
        <w:tc>
          <w:tcPr>
            <w:tcW w:w="625" w:type="pct"/>
            <w:hideMark/>
          </w:tcPr>
          <w:p w14:paraId="7E141173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99</w:t>
            </w:r>
          </w:p>
        </w:tc>
        <w:tc>
          <w:tcPr>
            <w:tcW w:w="625" w:type="pct"/>
            <w:hideMark/>
          </w:tcPr>
          <w:p w14:paraId="62EE5725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90</w:t>
            </w:r>
          </w:p>
        </w:tc>
        <w:tc>
          <w:tcPr>
            <w:tcW w:w="625" w:type="pct"/>
            <w:hideMark/>
          </w:tcPr>
          <w:p w14:paraId="6C9215B5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70</w:t>
            </w:r>
          </w:p>
        </w:tc>
      </w:tr>
      <w:tr w:rsidR="00AE2BBF" w:rsidRPr="004C39DE" w14:paraId="2082F190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2F0E3A23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Daginstitution</w:t>
            </w:r>
          </w:p>
        </w:tc>
        <w:tc>
          <w:tcPr>
            <w:tcW w:w="625" w:type="pct"/>
            <w:hideMark/>
          </w:tcPr>
          <w:p w14:paraId="4FD916FF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126</w:t>
            </w:r>
          </w:p>
        </w:tc>
        <w:tc>
          <w:tcPr>
            <w:tcW w:w="625" w:type="pct"/>
            <w:hideMark/>
          </w:tcPr>
          <w:p w14:paraId="56541D03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99</w:t>
            </w:r>
          </w:p>
        </w:tc>
        <w:tc>
          <w:tcPr>
            <w:tcW w:w="625" w:type="pct"/>
            <w:hideMark/>
          </w:tcPr>
          <w:p w14:paraId="73E9D6E6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108</w:t>
            </w:r>
          </w:p>
        </w:tc>
        <w:tc>
          <w:tcPr>
            <w:tcW w:w="625" w:type="pct"/>
            <w:hideMark/>
          </w:tcPr>
          <w:p w14:paraId="6CE63B73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134</w:t>
            </w:r>
          </w:p>
        </w:tc>
        <w:tc>
          <w:tcPr>
            <w:tcW w:w="625" w:type="pct"/>
            <w:hideMark/>
          </w:tcPr>
          <w:p w14:paraId="57839B65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127</w:t>
            </w:r>
          </w:p>
        </w:tc>
        <w:tc>
          <w:tcPr>
            <w:tcW w:w="625" w:type="pct"/>
            <w:hideMark/>
          </w:tcPr>
          <w:p w14:paraId="6EED4BD4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138</w:t>
            </w:r>
          </w:p>
        </w:tc>
      </w:tr>
      <w:tr w:rsidR="004C39DE" w:rsidRPr="004C39DE" w14:paraId="0F3B81E8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5A79EA5E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Familie</w:t>
            </w:r>
          </w:p>
        </w:tc>
        <w:tc>
          <w:tcPr>
            <w:tcW w:w="625" w:type="pct"/>
            <w:hideMark/>
          </w:tcPr>
          <w:p w14:paraId="1220F5D0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17</w:t>
            </w:r>
          </w:p>
        </w:tc>
        <w:tc>
          <w:tcPr>
            <w:tcW w:w="625" w:type="pct"/>
            <w:hideMark/>
          </w:tcPr>
          <w:p w14:paraId="1582E1FD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44</w:t>
            </w:r>
          </w:p>
        </w:tc>
        <w:tc>
          <w:tcPr>
            <w:tcW w:w="625" w:type="pct"/>
            <w:hideMark/>
          </w:tcPr>
          <w:p w14:paraId="59246DF1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31</w:t>
            </w:r>
          </w:p>
        </w:tc>
        <w:tc>
          <w:tcPr>
            <w:tcW w:w="625" w:type="pct"/>
            <w:hideMark/>
          </w:tcPr>
          <w:p w14:paraId="659A97E1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45</w:t>
            </w:r>
          </w:p>
        </w:tc>
        <w:tc>
          <w:tcPr>
            <w:tcW w:w="625" w:type="pct"/>
            <w:hideMark/>
          </w:tcPr>
          <w:p w14:paraId="76C19110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16</w:t>
            </w:r>
          </w:p>
        </w:tc>
        <w:tc>
          <w:tcPr>
            <w:tcW w:w="625" w:type="pct"/>
            <w:hideMark/>
          </w:tcPr>
          <w:p w14:paraId="7AE71C74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49</w:t>
            </w:r>
          </w:p>
        </w:tc>
      </w:tr>
      <w:tr w:rsidR="00AE2BBF" w:rsidRPr="004C39DE" w14:paraId="544A9E24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78F36D2E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Familiebehandling</w:t>
            </w:r>
          </w:p>
        </w:tc>
        <w:tc>
          <w:tcPr>
            <w:tcW w:w="625" w:type="pct"/>
            <w:hideMark/>
          </w:tcPr>
          <w:p w14:paraId="2DB07DFD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15</w:t>
            </w:r>
          </w:p>
        </w:tc>
        <w:tc>
          <w:tcPr>
            <w:tcW w:w="625" w:type="pct"/>
            <w:hideMark/>
          </w:tcPr>
          <w:p w14:paraId="66DE2B8C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35</w:t>
            </w:r>
          </w:p>
        </w:tc>
        <w:tc>
          <w:tcPr>
            <w:tcW w:w="625" w:type="pct"/>
            <w:hideMark/>
          </w:tcPr>
          <w:p w14:paraId="7439957D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48</w:t>
            </w:r>
          </w:p>
        </w:tc>
        <w:tc>
          <w:tcPr>
            <w:tcW w:w="625" w:type="pct"/>
            <w:hideMark/>
          </w:tcPr>
          <w:p w14:paraId="6028D15F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69</w:t>
            </w:r>
          </w:p>
        </w:tc>
        <w:tc>
          <w:tcPr>
            <w:tcW w:w="625" w:type="pct"/>
            <w:hideMark/>
          </w:tcPr>
          <w:p w14:paraId="18F5182F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55</w:t>
            </w:r>
          </w:p>
        </w:tc>
        <w:tc>
          <w:tcPr>
            <w:tcW w:w="625" w:type="pct"/>
            <w:hideMark/>
          </w:tcPr>
          <w:p w14:paraId="0DAD816B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75</w:t>
            </w:r>
          </w:p>
        </w:tc>
      </w:tr>
      <w:tr w:rsidR="004C39DE" w:rsidRPr="004C39DE" w14:paraId="1082C076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4DA1B4BA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Forældremyndighedsindehaver</w:t>
            </w:r>
          </w:p>
        </w:tc>
        <w:tc>
          <w:tcPr>
            <w:tcW w:w="625" w:type="pct"/>
            <w:hideMark/>
          </w:tcPr>
          <w:p w14:paraId="4F9F21C1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-</w:t>
            </w:r>
          </w:p>
        </w:tc>
        <w:tc>
          <w:tcPr>
            <w:tcW w:w="625" w:type="pct"/>
            <w:hideMark/>
          </w:tcPr>
          <w:p w14:paraId="26DECF51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0</w:t>
            </w:r>
          </w:p>
        </w:tc>
        <w:tc>
          <w:tcPr>
            <w:tcW w:w="625" w:type="pct"/>
            <w:hideMark/>
          </w:tcPr>
          <w:p w14:paraId="4CC426F9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10</w:t>
            </w:r>
          </w:p>
        </w:tc>
        <w:tc>
          <w:tcPr>
            <w:tcW w:w="625" w:type="pct"/>
            <w:hideMark/>
          </w:tcPr>
          <w:p w14:paraId="1C18026A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27</w:t>
            </w:r>
          </w:p>
        </w:tc>
        <w:tc>
          <w:tcPr>
            <w:tcW w:w="625" w:type="pct"/>
            <w:hideMark/>
          </w:tcPr>
          <w:p w14:paraId="60215BD2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20</w:t>
            </w:r>
          </w:p>
        </w:tc>
        <w:tc>
          <w:tcPr>
            <w:tcW w:w="625" w:type="pct"/>
            <w:hideMark/>
          </w:tcPr>
          <w:p w14:paraId="7ACC73C8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54</w:t>
            </w:r>
          </w:p>
        </w:tc>
      </w:tr>
      <w:tr w:rsidR="00AE2BBF" w:rsidRPr="004C39DE" w14:paraId="57090327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031E2BA3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Kontaktperson</w:t>
            </w:r>
          </w:p>
        </w:tc>
        <w:tc>
          <w:tcPr>
            <w:tcW w:w="625" w:type="pct"/>
            <w:hideMark/>
          </w:tcPr>
          <w:p w14:paraId="377CCB9B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9</w:t>
            </w:r>
          </w:p>
        </w:tc>
        <w:tc>
          <w:tcPr>
            <w:tcW w:w="625" w:type="pct"/>
            <w:hideMark/>
          </w:tcPr>
          <w:p w14:paraId="499BC669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5</w:t>
            </w:r>
          </w:p>
        </w:tc>
        <w:tc>
          <w:tcPr>
            <w:tcW w:w="625" w:type="pct"/>
            <w:hideMark/>
          </w:tcPr>
          <w:p w14:paraId="78179776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8</w:t>
            </w:r>
          </w:p>
        </w:tc>
        <w:tc>
          <w:tcPr>
            <w:tcW w:w="625" w:type="pct"/>
            <w:hideMark/>
          </w:tcPr>
          <w:p w14:paraId="3C1A8A98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14</w:t>
            </w:r>
          </w:p>
        </w:tc>
        <w:tc>
          <w:tcPr>
            <w:tcW w:w="625" w:type="pct"/>
            <w:hideMark/>
          </w:tcPr>
          <w:p w14:paraId="6143C574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20</w:t>
            </w:r>
          </w:p>
        </w:tc>
        <w:tc>
          <w:tcPr>
            <w:tcW w:w="625" w:type="pct"/>
            <w:hideMark/>
          </w:tcPr>
          <w:p w14:paraId="7FFAE3FB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12</w:t>
            </w:r>
          </w:p>
        </w:tc>
      </w:tr>
      <w:tr w:rsidR="004C39DE" w:rsidRPr="004C39DE" w14:paraId="55992D7A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0FCAC976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Krisecenter</w:t>
            </w:r>
          </w:p>
        </w:tc>
        <w:tc>
          <w:tcPr>
            <w:tcW w:w="625" w:type="pct"/>
            <w:hideMark/>
          </w:tcPr>
          <w:p w14:paraId="719F629F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32</w:t>
            </w:r>
          </w:p>
        </w:tc>
        <w:tc>
          <w:tcPr>
            <w:tcW w:w="625" w:type="pct"/>
            <w:hideMark/>
          </w:tcPr>
          <w:p w14:paraId="0A9754CB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57</w:t>
            </w:r>
          </w:p>
        </w:tc>
        <w:tc>
          <w:tcPr>
            <w:tcW w:w="625" w:type="pct"/>
            <w:hideMark/>
          </w:tcPr>
          <w:p w14:paraId="6A9C99EE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25</w:t>
            </w:r>
          </w:p>
        </w:tc>
        <w:tc>
          <w:tcPr>
            <w:tcW w:w="625" w:type="pct"/>
            <w:hideMark/>
          </w:tcPr>
          <w:p w14:paraId="14CA236B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31</w:t>
            </w:r>
          </w:p>
        </w:tc>
        <w:tc>
          <w:tcPr>
            <w:tcW w:w="625" w:type="pct"/>
            <w:hideMark/>
          </w:tcPr>
          <w:p w14:paraId="29BD7F30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73</w:t>
            </w:r>
          </w:p>
        </w:tc>
        <w:tc>
          <w:tcPr>
            <w:tcW w:w="625" w:type="pct"/>
            <w:hideMark/>
          </w:tcPr>
          <w:p w14:paraId="65C51A92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77</w:t>
            </w:r>
          </w:p>
        </w:tc>
      </w:tr>
      <w:tr w:rsidR="00AE2BBF" w:rsidRPr="004C39DE" w14:paraId="6C67FE74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7072845F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Læge</w:t>
            </w:r>
          </w:p>
        </w:tc>
        <w:tc>
          <w:tcPr>
            <w:tcW w:w="625" w:type="pct"/>
            <w:hideMark/>
          </w:tcPr>
          <w:p w14:paraId="744D35A8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23</w:t>
            </w:r>
          </w:p>
        </w:tc>
        <w:tc>
          <w:tcPr>
            <w:tcW w:w="625" w:type="pct"/>
            <w:hideMark/>
          </w:tcPr>
          <w:p w14:paraId="511065B1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27</w:t>
            </w:r>
          </w:p>
        </w:tc>
        <w:tc>
          <w:tcPr>
            <w:tcW w:w="625" w:type="pct"/>
            <w:hideMark/>
          </w:tcPr>
          <w:p w14:paraId="7D1A1449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27</w:t>
            </w:r>
          </w:p>
        </w:tc>
        <w:tc>
          <w:tcPr>
            <w:tcW w:w="625" w:type="pct"/>
            <w:hideMark/>
          </w:tcPr>
          <w:p w14:paraId="6C891E51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26</w:t>
            </w:r>
          </w:p>
        </w:tc>
        <w:tc>
          <w:tcPr>
            <w:tcW w:w="625" w:type="pct"/>
            <w:hideMark/>
          </w:tcPr>
          <w:p w14:paraId="635CF58C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54</w:t>
            </w:r>
          </w:p>
        </w:tc>
        <w:tc>
          <w:tcPr>
            <w:tcW w:w="625" w:type="pct"/>
            <w:hideMark/>
          </w:tcPr>
          <w:p w14:paraId="0044D9E6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49</w:t>
            </w:r>
          </w:p>
        </w:tc>
      </w:tr>
      <w:tr w:rsidR="004C39DE" w:rsidRPr="004C39DE" w14:paraId="69ADD06A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6C99A74B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Modtaget fra anden kommune</w:t>
            </w:r>
          </w:p>
        </w:tc>
        <w:tc>
          <w:tcPr>
            <w:tcW w:w="625" w:type="pct"/>
            <w:hideMark/>
          </w:tcPr>
          <w:p w14:paraId="5DB3D9E9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18</w:t>
            </w:r>
          </w:p>
        </w:tc>
        <w:tc>
          <w:tcPr>
            <w:tcW w:w="625" w:type="pct"/>
            <w:hideMark/>
          </w:tcPr>
          <w:p w14:paraId="57BBAE9D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29</w:t>
            </w:r>
          </w:p>
        </w:tc>
        <w:tc>
          <w:tcPr>
            <w:tcW w:w="625" w:type="pct"/>
            <w:hideMark/>
          </w:tcPr>
          <w:p w14:paraId="5626973F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36</w:t>
            </w:r>
          </w:p>
        </w:tc>
        <w:tc>
          <w:tcPr>
            <w:tcW w:w="625" w:type="pct"/>
            <w:hideMark/>
          </w:tcPr>
          <w:p w14:paraId="21854067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34</w:t>
            </w:r>
          </w:p>
        </w:tc>
        <w:tc>
          <w:tcPr>
            <w:tcW w:w="625" w:type="pct"/>
            <w:hideMark/>
          </w:tcPr>
          <w:p w14:paraId="10047435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33</w:t>
            </w:r>
          </w:p>
        </w:tc>
        <w:tc>
          <w:tcPr>
            <w:tcW w:w="625" w:type="pct"/>
            <w:hideMark/>
          </w:tcPr>
          <w:p w14:paraId="15EABEFE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28</w:t>
            </w:r>
          </w:p>
        </w:tc>
      </w:tr>
      <w:tr w:rsidR="00AE2BBF" w:rsidRPr="004C39DE" w14:paraId="629C8A2E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4C2170E9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Naboer</w:t>
            </w:r>
          </w:p>
        </w:tc>
        <w:tc>
          <w:tcPr>
            <w:tcW w:w="625" w:type="pct"/>
            <w:hideMark/>
          </w:tcPr>
          <w:p w14:paraId="39F584E5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</w:t>
            </w:r>
          </w:p>
        </w:tc>
        <w:tc>
          <w:tcPr>
            <w:tcW w:w="625" w:type="pct"/>
            <w:hideMark/>
          </w:tcPr>
          <w:p w14:paraId="1AF80E66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9</w:t>
            </w:r>
          </w:p>
        </w:tc>
        <w:tc>
          <w:tcPr>
            <w:tcW w:w="625" w:type="pct"/>
            <w:hideMark/>
          </w:tcPr>
          <w:p w14:paraId="394D244A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</w:t>
            </w:r>
          </w:p>
        </w:tc>
        <w:tc>
          <w:tcPr>
            <w:tcW w:w="625" w:type="pct"/>
            <w:hideMark/>
          </w:tcPr>
          <w:p w14:paraId="5F75FE6D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9</w:t>
            </w:r>
          </w:p>
        </w:tc>
        <w:tc>
          <w:tcPr>
            <w:tcW w:w="625" w:type="pct"/>
            <w:hideMark/>
          </w:tcPr>
          <w:p w14:paraId="4CAE89BE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20</w:t>
            </w:r>
          </w:p>
        </w:tc>
        <w:tc>
          <w:tcPr>
            <w:tcW w:w="625" w:type="pct"/>
            <w:hideMark/>
          </w:tcPr>
          <w:p w14:paraId="5EE7184F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76</w:t>
            </w:r>
          </w:p>
        </w:tc>
      </w:tr>
      <w:tr w:rsidR="004C39DE" w:rsidRPr="004C39DE" w14:paraId="21CC6855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2A6DEDBD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Politi</w:t>
            </w:r>
          </w:p>
        </w:tc>
        <w:tc>
          <w:tcPr>
            <w:tcW w:w="625" w:type="pct"/>
            <w:hideMark/>
          </w:tcPr>
          <w:p w14:paraId="56463C22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77</w:t>
            </w:r>
          </w:p>
        </w:tc>
        <w:tc>
          <w:tcPr>
            <w:tcW w:w="625" w:type="pct"/>
            <w:hideMark/>
          </w:tcPr>
          <w:p w14:paraId="5F7DC156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148</w:t>
            </w:r>
          </w:p>
        </w:tc>
        <w:tc>
          <w:tcPr>
            <w:tcW w:w="625" w:type="pct"/>
            <w:hideMark/>
          </w:tcPr>
          <w:p w14:paraId="766EEA0A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181</w:t>
            </w:r>
          </w:p>
        </w:tc>
        <w:tc>
          <w:tcPr>
            <w:tcW w:w="625" w:type="pct"/>
            <w:hideMark/>
          </w:tcPr>
          <w:p w14:paraId="18156DC2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243</w:t>
            </w:r>
          </w:p>
        </w:tc>
        <w:tc>
          <w:tcPr>
            <w:tcW w:w="625" w:type="pct"/>
            <w:hideMark/>
          </w:tcPr>
          <w:p w14:paraId="09206327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380</w:t>
            </w:r>
          </w:p>
        </w:tc>
        <w:tc>
          <w:tcPr>
            <w:tcW w:w="625" w:type="pct"/>
            <w:hideMark/>
          </w:tcPr>
          <w:p w14:paraId="3A888112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362</w:t>
            </w:r>
          </w:p>
        </w:tc>
      </w:tr>
      <w:tr w:rsidR="00AE2BBF" w:rsidRPr="004C39DE" w14:paraId="35275142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39CB41B9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lastRenderedPageBreak/>
              <w:t>Psykiatri</w:t>
            </w:r>
          </w:p>
        </w:tc>
        <w:tc>
          <w:tcPr>
            <w:tcW w:w="625" w:type="pct"/>
            <w:hideMark/>
          </w:tcPr>
          <w:p w14:paraId="45A51C91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121</w:t>
            </w:r>
          </w:p>
        </w:tc>
        <w:tc>
          <w:tcPr>
            <w:tcW w:w="625" w:type="pct"/>
            <w:hideMark/>
          </w:tcPr>
          <w:p w14:paraId="6A45AFA7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102</w:t>
            </w:r>
          </w:p>
        </w:tc>
        <w:tc>
          <w:tcPr>
            <w:tcW w:w="625" w:type="pct"/>
            <w:hideMark/>
          </w:tcPr>
          <w:p w14:paraId="0E7096BA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101</w:t>
            </w:r>
          </w:p>
        </w:tc>
        <w:tc>
          <w:tcPr>
            <w:tcW w:w="625" w:type="pct"/>
            <w:hideMark/>
          </w:tcPr>
          <w:p w14:paraId="1053171E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135</w:t>
            </w:r>
          </w:p>
        </w:tc>
        <w:tc>
          <w:tcPr>
            <w:tcW w:w="625" w:type="pct"/>
            <w:hideMark/>
          </w:tcPr>
          <w:p w14:paraId="5EAAA08E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185</w:t>
            </w:r>
          </w:p>
        </w:tc>
        <w:tc>
          <w:tcPr>
            <w:tcW w:w="625" w:type="pct"/>
            <w:hideMark/>
          </w:tcPr>
          <w:p w14:paraId="52DE4C70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220</w:t>
            </w:r>
          </w:p>
        </w:tc>
      </w:tr>
      <w:tr w:rsidR="004C39DE" w:rsidRPr="004C39DE" w14:paraId="592268C9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40653262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Psykolog</w:t>
            </w:r>
          </w:p>
        </w:tc>
        <w:tc>
          <w:tcPr>
            <w:tcW w:w="625" w:type="pct"/>
            <w:hideMark/>
          </w:tcPr>
          <w:p w14:paraId="054AB88A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17</w:t>
            </w:r>
          </w:p>
        </w:tc>
        <w:tc>
          <w:tcPr>
            <w:tcW w:w="625" w:type="pct"/>
            <w:hideMark/>
          </w:tcPr>
          <w:p w14:paraId="1E963EEE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11</w:t>
            </w:r>
          </w:p>
        </w:tc>
        <w:tc>
          <w:tcPr>
            <w:tcW w:w="625" w:type="pct"/>
            <w:hideMark/>
          </w:tcPr>
          <w:p w14:paraId="04F8FE2A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8</w:t>
            </w:r>
          </w:p>
        </w:tc>
        <w:tc>
          <w:tcPr>
            <w:tcW w:w="625" w:type="pct"/>
            <w:hideMark/>
          </w:tcPr>
          <w:p w14:paraId="5F3B5298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8</w:t>
            </w:r>
          </w:p>
        </w:tc>
        <w:tc>
          <w:tcPr>
            <w:tcW w:w="625" w:type="pct"/>
            <w:hideMark/>
          </w:tcPr>
          <w:p w14:paraId="01DC7A0C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9</w:t>
            </w:r>
          </w:p>
        </w:tc>
        <w:tc>
          <w:tcPr>
            <w:tcW w:w="625" w:type="pct"/>
            <w:hideMark/>
          </w:tcPr>
          <w:p w14:paraId="0242D643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18</w:t>
            </w:r>
          </w:p>
        </w:tc>
      </w:tr>
      <w:tr w:rsidR="00AE2BBF" w:rsidRPr="004C39DE" w14:paraId="13B77AC7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181ACA73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SFO/Fritidshjem/Klub</w:t>
            </w:r>
          </w:p>
        </w:tc>
        <w:tc>
          <w:tcPr>
            <w:tcW w:w="625" w:type="pct"/>
            <w:hideMark/>
          </w:tcPr>
          <w:p w14:paraId="56D54B08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6</w:t>
            </w:r>
          </w:p>
        </w:tc>
        <w:tc>
          <w:tcPr>
            <w:tcW w:w="625" w:type="pct"/>
            <w:hideMark/>
          </w:tcPr>
          <w:p w14:paraId="4FAC6705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26</w:t>
            </w:r>
          </w:p>
        </w:tc>
        <w:tc>
          <w:tcPr>
            <w:tcW w:w="625" w:type="pct"/>
            <w:hideMark/>
          </w:tcPr>
          <w:p w14:paraId="23F900FC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31</w:t>
            </w:r>
          </w:p>
        </w:tc>
        <w:tc>
          <w:tcPr>
            <w:tcW w:w="625" w:type="pct"/>
            <w:hideMark/>
          </w:tcPr>
          <w:p w14:paraId="22A7990B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16</w:t>
            </w:r>
          </w:p>
        </w:tc>
        <w:tc>
          <w:tcPr>
            <w:tcW w:w="625" w:type="pct"/>
            <w:hideMark/>
          </w:tcPr>
          <w:p w14:paraId="12A6F824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10</w:t>
            </w:r>
          </w:p>
        </w:tc>
        <w:tc>
          <w:tcPr>
            <w:tcW w:w="625" w:type="pct"/>
            <w:hideMark/>
          </w:tcPr>
          <w:p w14:paraId="2A8A38F3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17</w:t>
            </w:r>
          </w:p>
        </w:tc>
      </w:tr>
      <w:tr w:rsidR="004C39DE" w:rsidRPr="004C39DE" w14:paraId="21DD5A7F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00EDD620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Skole</w:t>
            </w:r>
          </w:p>
        </w:tc>
        <w:tc>
          <w:tcPr>
            <w:tcW w:w="625" w:type="pct"/>
            <w:hideMark/>
          </w:tcPr>
          <w:p w14:paraId="3F3C3515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232</w:t>
            </w:r>
          </w:p>
        </w:tc>
        <w:tc>
          <w:tcPr>
            <w:tcW w:w="625" w:type="pct"/>
            <w:hideMark/>
          </w:tcPr>
          <w:p w14:paraId="03CD4DF6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284</w:t>
            </w:r>
          </w:p>
        </w:tc>
        <w:tc>
          <w:tcPr>
            <w:tcW w:w="625" w:type="pct"/>
            <w:hideMark/>
          </w:tcPr>
          <w:p w14:paraId="76348173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316</w:t>
            </w:r>
          </w:p>
        </w:tc>
        <w:tc>
          <w:tcPr>
            <w:tcW w:w="625" w:type="pct"/>
            <w:hideMark/>
          </w:tcPr>
          <w:p w14:paraId="575703A0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273</w:t>
            </w:r>
          </w:p>
        </w:tc>
        <w:tc>
          <w:tcPr>
            <w:tcW w:w="625" w:type="pct"/>
            <w:hideMark/>
          </w:tcPr>
          <w:p w14:paraId="4032EBDD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290</w:t>
            </w:r>
          </w:p>
        </w:tc>
        <w:tc>
          <w:tcPr>
            <w:tcW w:w="625" w:type="pct"/>
            <w:hideMark/>
          </w:tcPr>
          <w:p w14:paraId="7C8F55D9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371</w:t>
            </w:r>
          </w:p>
        </w:tc>
      </w:tr>
      <w:tr w:rsidR="00AE2BBF" w:rsidRPr="004C39DE" w14:paraId="308D0270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43E58CEF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Sundhedsplejerske</w:t>
            </w:r>
          </w:p>
        </w:tc>
        <w:tc>
          <w:tcPr>
            <w:tcW w:w="625" w:type="pct"/>
            <w:hideMark/>
          </w:tcPr>
          <w:p w14:paraId="585C7BA6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20</w:t>
            </w:r>
          </w:p>
        </w:tc>
        <w:tc>
          <w:tcPr>
            <w:tcW w:w="625" w:type="pct"/>
            <w:hideMark/>
          </w:tcPr>
          <w:p w14:paraId="6F006C70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27</w:t>
            </w:r>
          </w:p>
        </w:tc>
        <w:tc>
          <w:tcPr>
            <w:tcW w:w="625" w:type="pct"/>
            <w:hideMark/>
          </w:tcPr>
          <w:p w14:paraId="7E4CFC6B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21</w:t>
            </w:r>
          </w:p>
        </w:tc>
        <w:tc>
          <w:tcPr>
            <w:tcW w:w="625" w:type="pct"/>
            <w:hideMark/>
          </w:tcPr>
          <w:p w14:paraId="6A7C9F43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21</w:t>
            </w:r>
          </w:p>
        </w:tc>
        <w:tc>
          <w:tcPr>
            <w:tcW w:w="625" w:type="pct"/>
            <w:hideMark/>
          </w:tcPr>
          <w:p w14:paraId="49F6BA0F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20</w:t>
            </w:r>
          </w:p>
        </w:tc>
        <w:tc>
          <w:tcPr>
            <w:tcW w:w="625" w:type="pct"/>
            <w:hideMark/>
          </w:tcPr>
          <w:p w14:paraId="194CC0CC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35</w:t>
            </w:r>
          </w:p>
        </w:tc>
      </w:tr>
      <w:tr w:rsidR="004C39DE" w:rsidRPr="004C39DE" w14:paraId="0F5A2441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2CA36299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Sygehus</w:t>
            </w:r>
          </w:p>
        </w:tc>
        <w:tc>
          <w:tcPr>
            <w:tcW w:w="625" w:type="pct"/>
            <w:hideMark/>
          </w:tcPr>
          <w:p w14:paraId="130A4E3E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70</w:t>
            </w:r>
          </w:p>
        </w:tc>
        <w:tc>
          <w:tcPr>
            <w:tcW w:w="625" w:type="pct"/>
            <w:hideMark/>
          </w:tcPr>
          <w:p w14:paraId="0D685F04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46</w:t>
            </w:r>
          </w:p>
        </w:tc>
        <w:tc>
          <w:tcPr>
            <w:tcW w:w="625" w:type="pct"/>
            <w:hideMark/>
          </w:tcPr>
          <w:p w14:paraId="7811E2A8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82</w:t>
            </w:r>
          </w:p>
        </w:tc>
        <w:tc>
          <w:tcPr>
            <w:tcW w:w="625" w:type="pct"/>
            <w:hideMark/>
          </w:tcPr>
          <w:p w14:paraId="61314ECD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59</w:t>
            </w:r>
          </w:p>
        </w:tc>
        <w:tc>
          <w:tcPr>
            <w:tcW w:w="625" w:type="pct"/>
            <w:hideMark/>
          </w:tcPr>
          <w:p w14:paraId="3BA8ED68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66</w:t>
            </w:r>
          </w:p>
        </w:tc>
        <w:tc>
          <w:tcPr>
            <w:tcW w:w="625" w:type="pct"/>
            <w:hideMark/>
          </w:tcPr>
          <w:p w14:paraId="5AA88DF0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104</w:t>
            </w:r>
          </w:p>
        </w:tc>
      </w:tr>
      <w:tr w:rsidR="00AE2BBF" w:rsidRPr="004C39DE" w14:paraId="32922811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102D92F4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Øvrige</w:t>
            </w:r>
          </w:p>
        </w:tc>
        <w:tc>
          <w:tcPr>
            <w:tcW w:w="625" w:type="pct"/>
            <w:noWrap/>
            <w:hideMark/>
          </w:tcPr>
          <w:p w14:paraId="3F6B5D1A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4C39DE">
              <w:rPr>
                <w:color w:val="000000"/>
                <w:sz w:val="20"/>
              </w:rPr>
              <w:t>140</w:t>
            </w:r>
          </w:p>
        </w:tc>
        <w:tc>
          <w:tcPr>
            <w:tcW w:w="625" w:type="pct"/>
            <w:hideMark/>
          </w:tcPr>
          <w:p w14:paraId="14DF8CB5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85</w:t>
            </w:r>
          </w:p>
        </w:tc>
        <w:tc>
          <w:tcPr>
            <w:tcW w:w="625" w:type="pct"/>
            <w:hideMark/>
          </w:tcPr>
          <w:p w14:paraId="5F25C28F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231</w:t>
            </w:r>
          </w:p>
        </w:tc>
        <w:tc>
          <w:tcPr>
            <w:tcW w:w="625" w:type="pct"/>
            <w:hideMark/>
          </w:tcPr>
          <w:p w14:paraId="46A5DABD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234</w:t>
            </w:r>
          </w:p>
        </w:tc>
        <w:tc>
          <w:tcPr>
            <w:tcW w:w="625" w:type="pct"/>
            <w:hideMark/>
          </w:tcPr>
          <w:p w14:paraId="63C568FD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112</w:t>
            </w:r>
          </w:p>
        </w:tc>
        <w:tc>
          <w:tcPr>
            <w:tcW w:w="625" w:type="pct"/>
            <w:hideMark/>
          </w:tcPr>
          <w:p w14:paraId="27599411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99</w:t>
            </w:r>
          </w:p>
        </w:tc>
      </w:tr>
      <w:tr w:rsidR="004C39DE" w:rsidRPr="004C39DE" w14:paraId="30AB8A67" w14:textId="77777777" w:rsidTr="00AE2BB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2C17F07D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Familieafdelingen</w:t>
            </w:r>
          </w:p>
        </w:tc>
        <w:tc>
          <w:tcPr>
            <w:tcW w:w="625" w:type="pct"/>
            <w:hideMark/>
          </w:tcPr>
          <w:p w14:paraId="2D71BCDC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-</w:t>
            </w:r>
          </w:p>
        </w:tc>
        <w:tc>
          <w:tcPr>
            <w:tcW w:w="625" w:type="pct"/>
            <w:hideMark/>
          </w:tcPr>
          <w:p w14:paraId="7F670867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-</w:t>
            </w:r>
          </w:p>
        </w:tc>
        <w:tc>
          <w:tcPr>
            <w:tcW w:w="625" w:type="pct"/>
            <w:hideMark/>
          </w:tcPr>
          <w:p w14:paraId="2EBA585F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-</w:t>
            </w:r>
          </w:p>
        </w:tc>
        <w:tc>
          <w:tcPr>
            <w:tcW w:w="625" w:type="pct"/>
            <w:hideMark/>
          </w:tcPr>
          <w:p w14:paraId="3DDCFF37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-</w:t>
            </w:r>
          </w:p>
        </w:tc>
        <w:tc>
          <w:tcPr>
            <w:tcW w:w="625" w:type="pct"/>
            <w:hideMark/>
          </w:tcPr>
          <w:p w14:paraId="6237BE7D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74</w:t>
            </w:r>
          </w:p>
        </w:tc>
        <w:tc>
          <w:tcPr>
            <w:tcW w:w="625" w:type="pct"/>
            <w:hideMark/>
          </w:tcPr>
          <w:p w14:paraId="0F93B5A1" w14:textId="77777777" w:rsidR="004C39DE" w:rsidRPr="004C39DE" w:rsidRDefault="004C39DE" w:rsidP="004C39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19"/>
              </w:rPr>
            </w:pPr>
            <w:r w:rsidRPr="004C39DE">
              <w:rPr>
                <w:color w:val="000000"/>
                <w:szCs w:val="19"/>
              </w:rPr>
              <w:t>115</w:t>
            </w:r>
          </w:p>
        </w:tc>
      </w:tr>
      <w:tr w:rsidR="00AE2BBF" w:rsidRPr="004C39DE" w14:paraId="1FB22FC9" w14:textId="77777777" w:rsidTr="00AE2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14:paraId="3FE94BA3" w14:textId="77777777" w:rsidR="004C39DE" w:rsidRPr="004C39DE" w:rsidRDefault="004C39DE" w:rsidP="004C39DE">
            <w:pPr>
              <w:spacing w:line="240" w:lineRule="auto"/>
              <w:rPr>
                <w:color w:val="000000"/>
                <w:szCs w:val="19"/>
              </w:rPr>
            </w:pPr>
            <w:r w:rsidRPr="004C39DE">
              <w:rPr>
                <w:szCs w:val="19"/>
              </w:rPr>
              <w:t>I alt</w:t>
            </w:r>
          </w:p>
        </w:tc>
        <w:tc>
          <w:tcPr>
            <w:tcW w:w="625" w:type="pct"/>
            <w:hideMark/>
          </w:tcPr>
          <w:p w14:paraId="74078B39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19"/>
              </w:rPr>
            </w:pPr>
            <w:r w:rsidRPr="004C39DE">
              <w:rPr>
                <w:b/>
                <w:bCs/>
                <w:szCs w:val="19"/>
              </w:rPr>
              <w:t>1.127</w:t>
            </w:r>
          </w:p>
        </w:tc>
        <w:tc>
          <w:tcPr>
            <w:tcW w:w="625" w:type="pct"/>
            <w:hideMark/>
          </w:tcPr>
          <w:p w14:paraId="6074EFD5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19"/>
              </w:rPr>
            </w:pPr>
            <w:r w:rsidRPr="004C39DE">
              <w:rPr>
                <w:b/>
                <w:bCs/>
                <w:szCs w:val="19"/>
              </w:rPr>
              <w:t>1.382</w:t>
            </w:r>
          </w:p>
        </w:tc>
        <w:tc>
          <w:tcPr>
            <w:tcW w:w="625" w:type="pct"/>
            <w:hideMark/>
          </w:tcPr>
          <w:p w14:paraId="0121AE67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19"/>
              </w:rPr>
            </w:pPr>
            <w:r w:rsidRPr="004C39DE">
              <w:rPr>
                <w:b/>
                <w:bCs/>
                <w:szCs w:val="19"/>
              </w:rPr>
              <w:t>1.594</w:t>
            </w:r>
          </w:p>
        </w:tc>
        <w:tc>
          <w:tcPr>
            <w:tcW w:w="625" w:type="pct"/>
            <w:hideMark/>
          </w:tcPr>
          <w:p w14:paraId="042C47BD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19"/>
              </w:rPr>
            </w:pPr>
            <w:r w:rsidRPr="004C39DE">
              <w:rPr>
                <w:b/>
                <w:bCs/>
                <w:szCs w:val="19"/>
              </w:rPr>
              <w:t>1.682</w:t>
            </w:r>
          </w:p>
        </w:tc>
        <w:tc>
          <w:tcPr>
            <w:tcW w:w="625" w:type="pct"/>
            <w:hideMark/>
          </w:tcPr>
          <w:p w14:paraId="31C8D87B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19"/>
              </w:rPr>
            </w:pPr>
            <w:r w:rsidRPr="004C39DE">
              <w:rPr>
                <w:b/>
                <w:bCs/>
                <w:szCs w:val="19"/>
              </w:rPr>
              <w:t>2.027</w:t>
            </w:r>
          </w:p>
        </w:tc>
        <w:tc>
          <w:tcPr>
            <w:tcW w:w="625" w:type="pct"/>
            <w:hideMark/>
          </w:tcPr>
          <w:p w14:paraId="0125BC37" w14:textId="77777777" w:rsidR="004C39DE" w:rsidRPr="004C39DE" w:rsidRDefault="004C39DE" w:rsidP="004C39D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19"/>
              </w:rPr>
            </w:pPr>
            <w:r w:rsidRPr="004C39DE">
              <w:rPr>
                <w:b/>
                <w:bCs/>
                <w:szCs w:val="19"/>
              </w:rPr>
              <w:t>2.321</w:t>
            </w:r>
          </w:p>
        </w:tc>
      </w:tr>
    </w:tbl>
    <w:p w14:paraId="7795BA17" w14:textId="6F62B05E" w:rsidR="009A03B9" w:rsidRPr="009A03B9" w:rsidRDefault="00D15705" w:rsidP="00446FDE">
      <w:pPr>
        <w:pStyle w:val="Overskrift2"/>
      </w:pPr>
      <w:r>
        <w:t>Aldersmæssig fordeling af u</w:t>
      </w:r>
      <w:r w:rsidR="009A03B9" w:rsidRPr="009A03B9">
        <w:t>nderretninger</w:t>
      </w:r>
    </w:p>
    <w:p w14:paraId="4610FBCB" w14:textId="61009E54" w:rsidR="009A03B9" w:rsidRDefault="009A03B9">
      <w:pPr>
        <w:spacing w:line="240" w:lineRule="auto"/>
      </w:pPr>
      <w:r>
        <w:t xml:space="preserve">Den aldersmæssige </w:t>
      </w:r>
      <w:r w:rsidR="007F0DAE">
        <w:t>fordeling</w:t>
      </w:r>
      <w:r>
        <w:t xml:space="preserve"> af underretninger</w:t>
      </w:r>
      <w:r w:rsidR="007F0DAE">
        <w:t xml:space="preserve"> i 2020-2022 </w:t>
      </w:r>
      <w:r w:rsidR="009E3EB1">
        <w:t xml:space="preserve">ses </w:t>
      </w:r>
      <w:r>
        <w:t xml:space="preserve">i </w:t>
      </w:r>
      <w:r w:rsidRPr="005029E8">
        <w:rPr>
          <w:i/>
          <w:iCs/>
        </w:rPr>
        <w:t xml:space="preserve">figur </w:t>
      </w:r>
      <w:r w:rsidR="0009598F">
        <w:rPr>
          <w:i/>
          <w:iCs/>
        </w:rPr>
        <w:t>4</w:t>
      </w:r>
      <w:r>
        <w:t xml:space="preserve">. </w:t>
      </w:r>
      <w:r w:rsidR="00866A62">
        <w:t xml:space="preserve">Alder er opgjort på underretningens dato. </w:t>
      </w:r>
      <w:r w:rsidR="007F0DAE">
        <w:t xml:space="preserve">Det samlede </w:t>
      </w:r>
      <w:r w:rsidR="00866A62">
        <w:t xml:space="preserve">billede </w:t>
      </w:r>
      <w:r w:rsidR="007F0DAE">
        <w:t xml:space="preserve">er, at der over de tre år i det store hele ikke </w:t>
      </w:r>
      <w:r w:rsidR="000A50C4">
        <w:t xml:space="preserve">er ændringer mellem </w:t>
      </w:r>
      <w:r w:rsidR="007F0DAE">
        <w:t>de forskellige aldersgruppers andele.</w:t>
      </w:r>
      <w:r w:rsidR="000A50C4">
        <w:t xml:space="preserve"> Dog er der sket forskydninger i forhold til 2021, idet andelen af de yngste børn er vokset med 2,4 procentpoint, de 6-8 årige med 2,6 procentpoint, mens andelen vedrørende 9-11 årige er faldet med 2,2</w:t>
      </w:r>
      <w:r w:rsidR="000A50C4" w:rsidRPr="000A50C4">
        <w:t xml:space="preserve"> </w:t>
      </w:r>
      <w:r w:rsidR="000A50C4">
        <w:t>procentpoint.</w:t>
      </w:r>
    </w:p>
    <w:p w14:paraId="149862E8" w14:textId="77777777" w:rsidR="00ED40B9" w:rsidRDefault="00ED40B9" w:rsidP="003D16D1">
      <w:pPr>
        <w:jc w:val="both"/>
      </w:pPr>
    </w:p>
    <w:p w14:paraId="35170EB0" w14:textId="3E1984B1" w:rsidR="003D16D1" w:rsidRPr="00B14A66" w:rsidRDefault="003D16D1" w:rsidP="00446FDE">
      <w:pPr>
        <w:pStyle w:val="Tabel-figur"/>
        <w:rPr>
          <w:b w:val="0"/>
          <w:bCs/>
          <w:i/>
          <w:iCs/>
        </w:rPr>
      </w:pPr>
      <w:r w:rsidRPr="00B14A66">
        <w:rPr>
          <w:b w:val="0"/>
          <w:bCs/>
          <w:i/>
          <w:iCs/>
        </w:rPr>
        <w:t xml:space="preserve">Figur </w:t>
      </w:r>
      <w:r w:rsidR="0009598F">
        <w:rPr>
          <w:b w:val="0"/>
          <w:bCs/>
          <w:i/>
          <w:iCs/>
        </w:rPr>
        <w:t>4</w:t>
      </w:r>
      <w:r w:rsidR="00446FDE" w:rsidRPr="00B14A66">
        <w:rPr>
          <w:b w:val="0"/>
          <w:bCs/>
          <w:i/>
          <w:iCs/>
        </w:rPr>
        <w:br/>
      </w:r>
      <w:r w:rsidRPr="00B14A66">
        <w:rPr>
          <w:b w:val="0"/>
          <w:bCs/>
          <w:i/>
          <w:iCs/>
        </w:rPr>
        <w:t>Underretning</w:t>
      </w:r>
      <w:r w:rsidR="003D1B70" w:rsidRPr="00B14A66">
        <w:rPr>
          <w:b w:val="0"/>
          <w:bCs/>
          <w:i/>
          <w:iCs/>
        </w:rPr>
        <w:t>er</w:t>
      </w:r>
      <w:r w:rsidRPr="00B14A66">
        <w:rPr>
          <w:b w:val="0"/>
          <w:bCs/>
          <w:i/>
          <w:iCs/>
        </w:rPr>
        <w:t xml:space="preserve"> fordelt på alder 20</w:t>
      </w:r>
      <w:r w:rsidR="00387DF1" w:rsidRPr="00B14A66">
        <w:rPr>
          <w:b w:val="0"/>
          <w:bCs/>
          <w:i/>
          <w:iCs/>
        </w:rPr>
        <w:t>20</w:t>
      </w:r>
      <w:r w:rsidRPr="00B14A66">
        <w:rPr>
          <w:b w:val="0"/>
          <w:bCs/>
          <w:i/>
          <w:iCs/>
        </w:rPr>
        <w:t>-202</w:t>
      </w:r>
      <w:r w:rsidR="00D15705" w:rsidRPr="00B14A66">
        <w:rPr>
          <w:b w:val="0"/>
          <w:bCs/>
          <w:i/>
          <w:iCs/>
        </w:rPr>
        <w:t>2</w:t>
      </w:r>
      <w:r w:rsidR="005029E8" w:rsidRPr="00B14A66">
        <w:rPr>
          <w:b w:val="0"/>
          <w:bCs/>
          <w:i/>
          <w:iCs/>
        </w:rPr>
        <w:t>.</w:t>
      </w:r>
    </w:p>
    <w:p w14:paraId="6D84C2AD" w14:textId="11B86508" w:rsidR="003D16D1" w:rsidRDefault="00D15705" w:rsidP="003D16D1">
      <w:pPr>
        <w:pStyle w:val="Listeafsnit"/>
        <w:ind w:left="0"/>
        <w:jc w:val="both"/>
        <w:rPr>
          <w:b/>
          <w:szCs w:val="28"/>
        </w:rPr>
      </w:pPr>
      <w:r>
        <w:rPr>
          <w:noProof/>
        </w:rPr>
        <w:drawing>
          <wp:inline distT="0" distB="0" distL="0" distR="0" wp14:anchorId="62790DDF" wp14:editId="700F44D8">
            <wp:extent cx="5724940" cy="2447925"/>
            <wp:effectExtent l="0" t="0" r="9525" b="9525"/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F972B2B5-BA05-4581-8C96-A28F12A863E6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2D4C14" w14:textId="77777777" w:rsidR="00A01573" w:rsidRPr="00630956" w:rsidRDefault="00A01573" w:rsidP="00446FDE">
      <w:pPr>
        <w:pStyle w:val="Overskrift2"/>
      </w:pPr>
      <w:r w:rsidRPr="00630956">
        <w:t>Overgreb på børn og unge</w:t>
      </w:r>
    </w:p>
    <w:p w14:paraId="79CC5E06" w14:textId="628694E6" w:rsidR="000E6513" w:rsidRDefault="00B44879" w:rsidP="00C274B8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Administrationen</w:t>
      </w:r>
      <w:r w:rsidR="00DE4B35">
        <w:t xml:space="preserve"> har i tidligere </w:t>
      </w:r>
      <w:r w:rsidR="00724385">
        <w:t>års</w:t>
      </w:r>
      <w:r w:rsidR="00DE4B35">
        <w:t>redegørelser konstateret, at underretninger vedrørende overgreb</w:t>
      </w:r>
      <w:r w:rsidR="00437A23">
        <w:t xml:space="preserve">, herunder </w:t>
      </w:r>
      <w:r w:rsidR="00E6189C">
        <w:t xml:space="preserve">om mistanke om </w:t>
      </w:r>
      <w:r w:rsidR="00437A23">
        <w:t xml:space="preserve">fysisk og psykisk vold, </w:t>
      </w:r>
      <w:r w:rsidR="00DE4B35">
        <w:t>er i vækst.</w:t>
      </w:r>
    </w:p>
    <w:p w14:paraId="30400650" w14:textId="77777777" w:rsidR="000E6513" w:rsidRDefault="000E6513" w:rsidP="00C274B8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FD28365" w14:textId="600B2F9E" w:rsidR="00E542A4" w:rsidRDefault="00DE4B35" w:rsidP="00E542A4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Som det </w:t>
      </w:r>
      <w:r w:rsidR="00866A62">
        <w:t xml:space="preserve">fremgår </w:t>
      </w:r>
      <w:r>
        <w:t xml:space="preserve">af </w:t>
      </w:r>
      <w:r w:rsidRPr="00801645">
        <w:rPr>
          <w:i/>
          <w:iCs/>
        </w:rPr>
        <w:t xml:space="preserve">figur </w:t>
      </w:r>
      <w:r w:rsidR="0009598F">
        <w:rPr>
          <w:i/>
          <w:iCs/>
        </w:rPr>
        <w:t>5</w:t>
      </w:r>
      <w:r w:rsidR="00866A62">
        <w:t>,</w:t>
      </w:r>
      <w:r>
        <w:t xml:space="preserve"> modtog kommunen </w:t>
      </w:r>
      <w:r w:rsidR="00724385">
        <w:t xml:space="preserve">i 2022 </w:t>
      </w:r>
      <w:r>
        <w:t xml:space="preserve">437 underretninger </w:t>
      </w:r>
      <w:r w:rsidR="0026491A">
        <w:t>mod 323 i 2021</w:t>
      </w:r>
      <w:r w:rsidR="00866A62">
        <w:t xml:space="preserve">. </w:t>
      </w:r>
      <w:r w:rsidR="0026491A">
        <w:t xml:space="preserve">Fordelt på unikke børn var der tale om </w:t>
      </w:r>
      <w:r>
        <w:t>322 børn</w:t>
      </w:r>
      <w:r w:rsidR="0026491A">
        <w:t xml:space="preserve"> </w:t>
      </w:r>
      <w:r w:rsidR="00724385">
        <w:t xml:space="preserve">i 2022 </w:t>
      </w:r>
      <w:r w:rsidR="0026491A">
        <w:t>mod 268 året før</w:t>
      </w:r>
      <w:r w:rsidR="00437A23">
        <w:t xml:space="preserve">. Antallet af </w:t>
      </w:r>
      <w:r w:rsidR="00866A62">
        <w:t xml:space="preserve">denne </w:t>
      </w:r>
      <w:r w:rsidR="0026491A">
        <w:t xml:space="preserve">type </w:t>
      </w:r>
      <w:r w:rsidR="00437A23">
        <w:t>underretninger steg altså med 35 %</w:t>
      </w:r>
      <w:r w:rsidR="00866A62">
        <w:t xml:space="preserve"> i forhold til 2021</w:t>
      </w:r>
      <w:r w:rsidR="00437A23">
        <w:t xml:space="preserve">, mens stigningen i forhold til antal unikke børn </w:t>
      </w:r>
      <w:r w:rsidR="00866A62">
        <w:t xml:space="preserve">udgør </w:t>
      </w:r>
      <w:r w:rsidR="00437A23">
        <w:t>20 %.</w:t>
      </w:r>
    </w:p>
    <w:p w14:paraId="07907131" w14:textId="4B531EDF" w:rsidR="00724385" w:rsidRDefault="00724385" w:rsidP="00E542A4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3E20AA4F" w14:textId="76275253" w:rsidR="00E33BB2" w:rsidRPr="005003F2" w:rsidRDefault="00884F5D" w:rsidP="00E542A4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5003F2">
        <w:rPr>
          <w:i/>
          <w:iCs/>
        </w:rPr>
        <w:t>Figur</w:t>
      </w:r>
      <w:r w:rsidR="00E33BB2" w:rsidRPr="005003F2">
        <w:rPr>
          <w:i/>
          <w:iCs/>
        </w:rPr>
        <w:t xml:space="preserve"> 5</w:t>
      </w:r>
      <w:r w:rsidRPr="005003F2">
        <w:t xml:space="preserve"> viser også, at af de </w:t>
      </w:r>
      <w:r w:rsidR="0009598F" w:rsidRPr="005003F2">
        <w:t>322 sager</w:t>
      </w:r>
      <w:r w:rsidRPr="005003F2">
        <w:t xml:space="preserve"> </w:t>
      </w:r>
      <w:r w:rsidR="00F35245">
        <w:t xml:space="preserve">(blå markering) </w:t>
      </w:r>
      <w:r w:rsidRPr="005003F2">
        <w:t xml:space="preserve">med opstart i </w:t>
      </w:r>
      <w:r w:rsidR="0009598F" w:rsidRPr="005003F2">
        <w:t xml:space="preserve">2022 </w:t>
      </w:r>
      <w:r w:rsidRPr="005003F2">
        <w:t xml:space="preserve">var </w:t>
      </w:r>
      <w:r w:rsidR="0009598F" w:rsidRPr="005003F2">
        <w:t xml:space="preserve">219 af dem åbne </w:t>
      </w:r>
      <w:r w:rsidRPr="005003F2">
        <w:t>ved årets udgang</w:t>
      </w:r>
      <w:r w:rsidR="00F35245">
        <w:t xml:space="preserve"> (orange markering)</w:t>
      </w:r>
      <w:r w:rsidRPr="005003F2">
        <w:t>.</w:t>
      </w:r>
      <w:r w:rsidR="0009598F" w:rsidRPr="005003F2">
        <w:t xml:space="preserve"> Familieafdelingen har </w:t>
      </w:r>
      <w:r w:rsidR="00E33BB2" w:rsidRPr="005003F2">
        <w:t xml:space="preserve">altså lukket cirka en tredjedel af </w:t>
      </w:r>
      <w:r w:rsidR="00F35245">
        <w:t xml:space="preserve">de 322 sager </w:t>
      </w:r>
      <w:r w:rsidR="00F12127">
        <w:t>i løb</w:t>
      </w:r>
      <w:r w:rsidR="00F66D9A">
        <w:t>et af 2022</w:t>
      </w:r>
      <w:r w:rsidR="00F12127">
        <w:t>.</w:t>
      </w:r>
    </w:p>
    <w:p w14:paraId="563622C3" w14:textId="77777777" w:rsidR="00E33BB2" w:rsidRPr="005003F2" w:rsidRDefault="00E33BB2" w:rsidP="00E542A4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B98FF79" w14:textId="49441847" w:rsidR="00F12127" w:rsidRDefault="00F12127" w:rsidP="00F12127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Hvis man på samme måde ser på de 110 sager</w:t>
      </w:r>
      <w:r w:rsidR="00F35245">
        <w:t xml:space="preserve">, administrationen blev underrettet om i </w:t>
      </w:r>
      <w:r>
        <w:t xml:space="preserve">2017, </w:t>
      </w:r>
      <w:r w:rsidRPr="005003F2">
        <w:t xml:space="preserve">var </w:t>
      </w:r>
      <w:r w:rsidR="00F35245">
        <w:t xml:space="preserve">kun </w:t>
      </w:r>
      <w:r w:rsidRPr="005003F2">
        <w:t xml:space="preserve">19 </w:t>
      </w:r>
      <w:r w:rsidR="00F35245">
        <w:t xml:space="preserve">stadigt </w:t>
      </w:r>
      <w:r w:rsidRPr="005003F2">
        <w:t xml:space="preserve">aktive i Familieafdelingen </w:t>
      </w:r>
      <w:r w:rsidR="00F66D9A">
        <w:t>op mod fem år senere ved udgangen af 2022.</w:t>
      </w:r>
    </w:p>
    <w:p w14:paraId="5CB6CB10" w14:textId="77777777" w:rsidR="00F12127" w:rsidRDefault="00F12127" w:rsidP="00E542A4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CAA6FA9" w14:textId="06A40093" w:rsidR="00884F5D" w:rsidRPr="005003F2" w:rsidRDefault="00884F5D" w:rsidP="00E542A4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5003F2">
        <w:t xml:space="preserve">En </w:t>
      </w:r>
      <w:r w:rsidR="0009598F" w:rsidRPr="005003F2">
        <w:t xml:space="preserve">sag </w:t>
      </w:r>
      <w:r w:rsidRPr="005003F2">
        <w:t xml:space="preserve">kan </w:t>
      </w:r>
      <w:r w:rsidR="0009598F" w:rsidRPr="005003F2">
        <w:t>afsluttes</w:t>
      </w:r>
      <w:r w:rsidRPr="005003F2">
        <w:t xml:space="preserve">, hvis </w:t>
      </w:r>
      <w:r w:rsidR="00E33BB2" w:rsidRPr="005003F2">
        <w:t xml:space="preserve">underretningen efter </w:t>
      </w:r>
      <w:r w:rsidRPr="005003F2">
        <w:t>en socialfaglig vurdering viser</w:t>
      </w:r>
      <w:r w:rsidR="00E33BB2" w:rsidRPr="005003F2">
        <w:t xml:space="preserve"> sig at være </w:t>
      </w:r>
      <w:r w:rsidRPr="005003F2">
        <w:t xml:space="preserve">grundløs. </w:t>
      </w:r>
      <w:r w:rsidR="00E33BB2" w:rsidRPr="005003F2">
        <w:t xml:space="preserve">Lukningen </w:t>
      </w:r>
      <w:r w:rsidRPr="005003F2">
        <w:t xml:space="preserve">kan også skyldes, at </w:t>
      </w:r>
      <w:r w:rsidR="0009598F" w:rsidRPr="005003F2">
        <w:t xml:space="preserve">familien har fået vejledning og hjælp for at kunne komme videre. </w:t>
      </w:r>
      <w:r w:rsidRPr="005003F2">
        <w:t xml:space="preserve">Det kan også skyldes, at det </w:t>
      </w:r>
      <w:r w:rsidR="0009598F" w:rsidRPr="005003F2">
        <w:t>barn</w:t>
      </w:r>
      <w:r w:rsidRPr="005003F2">
        <w:t xml:space="preserve">, der </w:t>
      </w:r>
      <w:r w:rsidR="0009598F" w:rsidRPr="005003F2">
        <w:t>var udsat for et seksuelt overgreb</w:t>
      </w:r>
      <w:r w:rsidRPr="005003F2">
        <w:t xml:space="preserve">, er </w:t>
      </w:r>
      <w:r w:rsidR="0009598F" w:rsidRPr="005003F2">
        <w:t>blevet udre</w:t>
      </w:r>
      <w:r w:rsidRPr="005003F2">
        <w:t>d</w:t>
      </w:r>
      <w:r w:rsidR="0009598F" w:rsidRPr="005003F2">
        <w:t xml:space="preserve">t i Børnehuset </w:t>
      </w:r>
      <w:r w:rsidR="005003F2" w:rsidRPr="005003F2">
        <w:t xml:space="preserve">eller </w:t>
      </w:r>
      <w:r w:rsidRPr="005003F2">
        <w:t xml:space="preserve">har </w:t>
      </w:r>
      <w:r w:rsidR="0009598F" w:rsidRPr="005003F2">
        <w:t>fået f.eks. et §</w:t>
      </w:r>
      <w:r w:rsidRPr="005003F2">
        <w:t xml:space="preserve"> </w:t>
      </w:r>
      <w:r w:rsidR="0009598F" w:rsidRPr="005003F2">
        <w:t xml:space="preserve">11 </w:t>
      </w:r>
      <w:r w:rsidRPr="005003F2">
        <w:t>rådgivnings</w:t>
      </w:r>
      <w:r w:rsidR="0009598F" w:rsidRPr="005003F2">
        <w:t>forløb.</w:t>
      </w:r>
    </w:p>
    <w:p w14:paraId="57276955" w14:textId="77777777" w:rsidR="00884F5D" w:rsidRPr="005003F2" w:rsidRDefault="00884F5D" w:rsidP="00E542A4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421FA71" w14:textId="77777777" w:rsidR="00586B13" w:rsidRDefault="00586B13" w:rsidP="00E542A4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41D5A914" w14:textId="5F88A617" w:rsidR="00A435FE" w:rsidRPr="00B14A66" w:rsidRDefault="00A435FE" w:rsidP="009B7590">
      <w:pPr>
        <w:pStyle w:val="Tabel-figur"/>
        <w:rPr>
          <w:b w:val="0"/>
          <w:bCs/>
          <w:i/>
          <w:iCs/>
        </w:rPr>
      </w:pPr>
      <w:r w:rsidRPr="00B14A66">
        <w:rPr>
          <w:b w:val="0"/>
          <w:bCs/>
          <w:i/>
          <w:iCs/>
        </w:rPr>
        <w:t xml:space="preserve">Figur </w:t>
      </w:r>
      <w:r w:rsidR="0009598F">
        <w:rPr>
          <w:b w:val="0"/>
          <w:bCs/>
          <w:i/>
          <w:iCs/>
        </w:rPr>
        <w:t>5</w:t>
      </w:r>
      <w:r w:rsidR="00446FDE" w:rsidRPr="00B14A66">
        <w:rPr>
          <w:b w:val="0"/>
          <w:bCs/>
          <w:i/>
          <w:iCs/>
        </w:rPr>
        <w:br/>
      </w:r>
      <w:r w:rsidR="00A01573" w:rsidRPr="00B14A66">
        <w:rPr>
          <w:b w:val="0"/>
          <w:bCs/>
          <w:i/>
          <w:iCs/>
        </w:rPr>
        <w:t xml:space="preserve">Antal underretninger om </w:t>
      </w:r>
      <w:r w:rsidR="00E6189C">
        <w:rPr>
          <w:b w:val="0"/>
          <w:bCs/>
          <w:i/>
          <w:iCs/>
        </w:rPr>
        <w:t xml:space="preserve">mistanke om </w:t>
      </w:r>
      <w:r w:rsidR="00A01573" w:rsidRPr="00B14A66">
        <w:rPr>
          <w:b w:val="0"/>
          <w:bCs/>
          <w:i/>
          <w:iCs/>
        </w:rPr>
        <w:t>overgreb 2017-202</w:t>
      </w:r>
      <w:r w:rsidR="00DE4B35" w:rsidRPr="00B14A66">
        <w:rPr>
          <w:b w:val="0"/>
          <w:bCs/>
          <w:i/>
          <w:iCs/>
        </w:rPr>
        <w:t>2</w:t>
      </w:r>
      <w:r w:rsidR="005029E8" w:rsidRPr="00B14A66">
        <w:rPr>
          <w:b w:val="0"/>
          <w:bCs/>
          <w:i/>
          <w:iCs/>
        </w:rPr>
        <w:t>.</w:t>
      </w:r>
    </w:p>
    <w:p w14:paraId="3CC438B6" w14:textId="2EE74C66" w:rsidR="00A01573" w:rsidRPr="00630956" w:rsidRDefault="00DE4B35" w:rsidP="00A0157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noProof/>
        </w:rPr>
        <w:drawing>
          <wp:inline distT="0" distB="0" distL="0" distR="0" wp14:anchorId="7A6AA2A4" wp14:editId="500AEEB6">
            <wp:extent cx="5040000" cy="2419584"/>
            <wp:effectExtent l="0" t="0" r="8255" b="0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4218234C-6B56-4FA6-93ED-C25E5C5585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71A76F2" w14:textId="7691884E" w:rsidR="00295F32" w:rsidRDefault="00295F32" w:rsidP="00295F32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D51FB87" w14:textId="1933727C" w:rsidR="003D1B70" w:rsidRDefault="003D1B70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Den aldersmæssige fordeling af underretninger vedrørende overgreb er vist i </w:t>
      </w:r>
      <w:r w:rsidRPr="00724118">
        <w:rPr>
          <w:i/>
        </w:rPr>
        <w:t xml:space="preserve">figur </w:t>
      </w:r>
      <w:r w:rsidR="0009598F">
        <w:rPr>
          <w:i/>
        </w:rPr>
        <w:t>6</w:t>
      </w:r>
      <w:r>
        <w:t>.</w:t>
      </w:r>
    </w:p>
    <w:p w14:paraId="2D2B4D2D" w14:textId="77777777" w:rsidR="003D1B70" w:rsidRDefault="003D1B70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13C76BC" w14:textId="5BC26D0F" w:rsidR="003D1B70" w:rsidRPr="00B14A66" w:rsidRDefault="003D1B70" w:rsidP="00446FDE">
      <w:pPr>
        <w:pStyle w:val="Tabel-figur"/>
        <w:rPr>
          <w:b w:val="0"/>
          <w:bCs/>
          <w:i/>
          <w:iCs/>
        </w:rPr>
      </w:pPr>
      <w:r w:rsidRPr="00B14A66">
        <w:rPr>
          <w:b w:val="0"/>
          <w:bCs/>
          <w:i/>
          <w:iCs/>
        </w:rPr>
        <w:t xml:space="preserve">Figur </w:t>
      </w:r>
      <w:r w:rsidR="0009598F">
        <w:rPr>
          <w:b w:val="0"/>
          <w:bCs/>
          <w:i/>
          <w:iCs/>
        </w:rPr>
        <w:t>6</w:t>
      </w:r>
      <w:r w:rsidR="00446FDE" w:rsidRPr="00B14A66">
        <w:rPr>
          <w:b w:val="0"/>
          <w:bCs/>
          <w:i/>
          <w:iCs/>
        </w:rPr>
        <w:br/>
      </w:r>
      <w:r w:rsidRPr="00B14A66">
        <w:rPr>
          <w:b w:val="0"/>
          <w:bCs/>
          <w:i/>
          <w:iCs/>
        </w:rPr>
        <w:t xml:space="preserve">Underretninger om </w:t>
      </w:r>
      <w:r w:rsidR="00E6189C">
        <w:rPr>
          <w:b w:val="0"/>
          <w:bCs/>
          <w:i/>
          <w:iCs/>
        </w:rPr>
        <w:t xml:space="preserve">mistanke om </w:t>
      </w:r>
      <w:r w:rsidRPr="00B14A66">
        <w:rPr>
          <w:b w:val="0"/>
          <w:bCs/>
          <w:i/>
          <w:iCs/>
        </w:rPr>
        <w:t>overgreb</w:t>
      </w:r>
      <w:r w:rsidR="00E6189C">
        <w:rPr>
          <w:b w:val="0"/>
          <w:bCs/>
          <w:i/>
          <w:iCs/>
        </w:rPr>
        <w:t xml:space="preserve">, </w:t>
      </w:r>
      <w:r w:rsidRPr="00B14A66">
        <w:rPr>
          <w:b w:val="0"/>
          <w:bCs/>
          <w:i/>
          <w:iCs/>
        </w:rPr>
        <w:t>fordel</w:t>
      </w:r>
      <w:r w:rsidR="009A03B9" w:rsidRPr="00B14A66">
        <w:rPr>
          <w:b w:val="0"/>
          <w:bCs/>
          <w:i/>
          <w:iCs/>
        </w:rPr>
        <w:t>t</w:t>
      </w:r>
      <w:r w:rsidRPr="00B14A66">
        <w:rPr>
          <w:b w:val="0"/>
          <w:bCs/>
          <w:i/>
          <w:iCs/>
        </w:rPr>
        <w:t xml:space="preserve"> </w:t>
      </w:r>
      <w:r w:rsidR="00CF6ADE" w:rsidRPr="00B14A66">
        <w:rPr>
          <w:b w:val="0"/>
          <w:bCs/>
          <w:i/>
          <w:iCs/>
        </w:rPr>
        <w:t>efter alder</w:t>
      </w:r>
      <w:r w:rsidR="00E6189C">
        <w:rPr>
          <w:b w:val="0"/>
          <w:bCs/>
          <w:i/>
          <w:iCs/>
        </w:rPr>
        <w:t>,</w:t>
      </w:r>
      <w:r w:rsidR="00CF6ADE" w:rsidRPr="00B14A66">
        <w:rPr>
          <w:b w:val="0"/>
          <w:bCs/>
          <w:i/>
          <w:iCs/>
        </w:rPr>
        <w:t xml:space="preserve"> </w:t>
      </w:r>
      <w:r w:rsidRPr="00B14A66">
        <w:rPr>
          <w:b w:val="0"/>
          <w:bCs/>
          <w:i/>
          <w:iCs/>
        </w:rPr>
        <w:t>2019-202</w:t>
      </w:r>
      <w:r w:rsidR="00437A23" w:rsidRPr="00B14A66">
        <w:rPr>
          <w:b w:val="0"/>
          <w:bCs/>
          <w:i/>
          <w:iCs/>
        </w:rPr>
        <w:t>2</w:t>
      </w:r>
      <w:r w:rsidR="005029E8" w:rsidRPr="00B14A66">
        <w:rPr>
          <w:b w:val="0"/>
          <w:bCs/>
          <w:i/>
          <w:iCs/>
        </w:rPr>
        <w:t>.</w:t>
      </w:r>
    </w:p>
    <w:p w14:paraId="37A3FDC3" w14:textId="4621374E" w:rsidR="003D1B70" w:rsidRDefault="00437A23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noProof/>
        </w:rPr>
        <w:drawing>
          <wp:inline distT="0" distB="0" distL="0" distR="0" wp14:anchorId="03539716" wp14:editId="269C88A7">
            <wp:extent cx="5040000" cy="2835217"/>
            <wp:effectExtent l="0" t="0" r="8255" b="3810"/>
            <wp:docPr id="17" name="Diagram 17">
              <a:extLst xmlns:a="http://schemas.openxmlformats.org/drawingml/2006/main">
                <a:ext uri="{FF2B5EF4-FFF2-40B4-BE49-F238E27FC236}">
                  <a16:creationId xmlns:a16="http://schemas.microsoft.com/office/drawing/2014/main" id="{73861700-ED23-42DC-A469-3DB93EB9C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94AF83C" w14:textId="0715D5CF" w:rsidR="003D1B70" w:rsidRDefault="003D1B70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9AE9784" w14:textId="4FEE5C55" w:rsidR="009A332B" w:rsidRDefault="009B7590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9B7590">
        <w:t xml:space="preserve">I 2022 er aldersgrupperne 0-2 år, 6-8 år, 12-14 år og 15-17 år steget i forhold til </w:t>
      </w:r>
      <w:r>
        <w:t>2021</w:t>
      </w:r>
      <w:r w:rsidRPr="009B7590">
        <w:t xml:space="preserve">. </w:t>
      </w:r>
      <w:r w:rsidR="009F2F1C">
        <w:t xml:space="preserve">Knapt halvdelen af </w:t>
      </w:r>
      <w:r w:rsidRPr="009B7590">
        <w:t>underretninger</w:t>
      </w:r>
      <w:r w:rsidR="009F2F1C">
        <w:t xml:space="preserve">ne </w:t>
      </w:r>
      <w:r w:rsidRPr="009B7590">
        <w:t>vedrørende vold og overgreb er på børn mellem 3-5 år og 6-8 år.</w:t>
      </w:r>
      <w:r w:rsidR="009F2F1C">
        <w:t xml:space="preserve"> 11 % af alle denne type af underretninger vedrører unge mellem 15 og 17 år</w:t>
      </w:r>
      <w:r w:rsidR="00AA3DE1">
        <w:t xml:space="preserve">, hvor en del af </w:t>
      </w:r>
      <w:r w:rsidR="000F3170">
        <w:t xml:space="preserve">underretningerne ifølge </w:t>
      </w:r>
      <w:r w:rsidR="00674F00">
        <w:t xml:space="preserve">Familieafdelingen formodes at kunne tilskrives </w:t>
      </w:r>
      <w:r w:rsidR="000F3170">
        <w:t>den nye samtykkelov.</w:t>
      </w:r>
    </w:p>
    <w:p w14:paraId="137AAA9A" w14:textId="63EF7FFA" w:rsidR="009F2F1C" w:rsidRDefault="009F2F1C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0E0BD6B0" w14:textId="1243A082" w:rsidR="004C198E" w:rsidRDefault="004C198E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Administrationens datagrundlag</w:t>
      </w:r>
      <w:r w:rsidR="00AE2BBF">
        <w:t>, der opsamles</w:t>
      </w:r>
      <w:r>
        <w:t xml:space="preserve"> i </w:t>
      </w:r>
      <w:r w:rsidR="00AE2BBF">
        <w:t>it-</w:t>
      </w:r>
      <w:r>
        <w:t>systemet DUBU</w:t>
      </w:r>
      <w:r w:rsidR="00706603">
        <w:t>,</w:t>
      </w:r>
      <w:r>
        <w:t xml:space="preserve"> gør det </w:t>
      </w:r>
      <w:r w:rsidR="00706603">
        <w:t xml:space="preserve">også </w:t>
      </w:r>
      <w:r>
        <w:t xml:space="preserve">muligt at </w:t>
      </w:r>
      <w:r w:rsidR="00AE2BBF">
        <w:t xml:space="preserve">identificere, hvorfra underretninger om overgreb kommer. </w:t>
      </w:r>
      <w:r w:rsidR="005003F2">
        <w:t xml:space="preserve">Dette fremgår af </w:t>
      </w:r>
      <w:r w:rsidR="005003F2" w:rsidRPr="005003F2">
        <w:rPr>
          <w:i/>
          <w:iCs/>
        </w:rPr>
        <w:t>tabel 2</w:t>
      </w:r>
      <w:r w:rsidR="005003F2">
        <w:t>.</w:t>
      </w:r>
    </w:p>
    <w:p w14:paraId="18426B96" w14:textId="682AB9DC" w:rsidR="000F3170" w:rsidRDefault="000F3170">
      <w:pPr>
        <w:spacing w:line="240" w:lineRule="auto"/>
      </w:pPr>
      <w:r>
        <w:br w:type="page"/>
      </w:r>
    </w:p>
    <w:p w14:paraId="4A292B8D" w14:textId="77777777" w:rsidR="00AE2BBF" w:rsidRDefault="00AE2BBF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67008C87" w14:textId="54F3F115" w:rsidR="00AE2BBF" w:rsidRPr="00B14A66" w:rsidRDefault="00AE2BBF" w:rsidP="00AE2BBF">
      <w:pPr>
        <w:pStyle w:val="Tabel-figur"/>
        <w:rPr>
          <w:b w:val="0"/>
          <w:bCs/>
          <w:i/>
          <w:iCs/>
        </w:rPr>
      </w:pPr>
      <w:bookmarkStart w:id="0" w:name="_Hlk124864516"/>
      <w:r w:rsidRPr="00B14A66">
        <w:rPr>
          <w:b w:val="0"/>
          <w:bCs/>
          <w:i/>
          <w:iCs/>
        </w:rPr>
        <w:t>Tabel 2</w:t>
      </w:r>
      <w:r w:rsidRPr="00B14A66">
        <w:rPr>
          <w:b w:val="0"/>
          <w:bCs/>
          <w:i/>
          <w:iCs/>
        </w:rPr>
        <w:br/>
        <w:t xml:space="preserve">Underretninger om </w:t>
      </w:r>
      <w:r w:rsidR="00E6189C">
        <w:rPr>
          <w:b w:val="0"/>
          <w:bCs/>
          <w:i/>
          <w:iCs/>
        </w:rPr>
        <w:t xml:space="preserve">mistanke om </w:t>
      </w:r>
      <w:r w:rsidRPr="00B14A66">
        <w:rPr>
          <w:b w:val="0"/>
          <w:bCs/>
          <w:i/>
          <w:iCs/>
        </w:rPr>
        <w:t>overgreb 2022, fordelt på afsender</w:t>
      </w:r>
      <w:r w:rsidR="005029E8" w:rsidRPr="00B14A66">
        <w:rPr>
          <w:b w:val="0"/>
          <w:bCs/>
          <w:i/>
          <w:iCs/>
        </w:rPr>
        <w:t>.</w:t>
      </w:r>
    </w:p>
    <w:tbl>
      <w:tblPr>
        <w:tblStyle w:val="Gittertabel4-farve3"/>
        <w:tblW w:w="6941" w:type="dxa"/>
        <w:tblLook w:val="04A0" w:firstRow="1" w:lastRow="0" w:firstColumn="1" w:lastColumn="0" w:noHBand="0" w:noVBand="1"/>
      </w:tblPr>
      <w:tblGrid>
        <w:gridCol w:w="3539"/>
        <w:gridCol w:w="1701"/>
        <w:gridCol w:w="1701"/>
      </w:tblGrid>
      <w:tr w:rsidR="00AE2BBF" w:rsidRPr="00AE2BBF" w14:paraId="56E38278" w14:textId="77777777" w:rsidTr="00AA3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bookmarkEnd w:id="0"/>
          <w:p w14:paraId="235EB892" w14:textId="77777777" w:rsidR="00AE2BBF" w:rsidRPr="00AE2BBF" w:rsidRDefault="00AE2BBF" w:rsidP="00AE2BBF">
            <w:pPr>
              <w:spacing w:line="240" w:lineRule="auto"/>
              <w:rPr>
                <w:color w:val="000000"/>
              </w:rPr>
            </w:pPr>
            <w:r w:rsidRPr="00AE2BBF">
              <w:rPr>
                <w:color w:val="000000"/>
              </w:rPr>
              <w:t>Anmelder</w:t>
            </w:r>
          </w:p>
        </w:tc>
        <w:tc>
          <w:tcPr>
            <w:tcW w:w="1701" w:type="dxa"/>
            <w:noWrap/>
            <w:hideMark/>
          </w:tcPr>
          <w:p w14:paraId="03DB6F4B" w14:textId="077FF0F3" w:rsidR="00AE2BBF" w:rsidRPr="00AE2BBF" w:rsidRDefault="00AE2BBF" w:rsidP="00AE2BBF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Antal</w:t>
            </w:r>
            <w:r w:rsidR="00586B13">
              <w:rPr>
                <w:color w:val="000000"/>
              </w:rPr>
              <w:t xml:space="preserve"> 2022</w:t>
            </w:r>
          </w:p>
        </w:tc>
        <w:tc>
          <w:tcPr>
            <w:tcW w:w="1701" w:type="dxa"/>
            <w:noWrap/>
            <w:hideMark/>
          </w:tcPr>
          <w:p w14:paraId="144930D8" w14:textId="7DAC0FFB" w:rsidR="00AE2BBF" w:rsidRPr="00AE2BBF" w:rsidRDefault="00AE2BBF" w:rsidP="00AE2BBF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Andel</w:t>
            </w:r>
            <w:r w:rsidR="00586B13">
              <w:rPr>
                <w:color w:val="000000"/>
              </w:rPr>
              <w:t xml:space="preserve"> 2022</w:t>
            </w:r>
          </w:p>
        </w:tc>
      </w:tr>
      <w:tr w:rsidR="00AE2BBF" w:rsidRPr="00AE2BBF" w14:paraId="2EFFA6DA" w14:textId="77777777" w:rsidTr="00AA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11111AE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Anbringelsessted</w:t>
            </w:r>
          </w:p>
        </w:tc>
        <w:tc>
          <w:tcPr>
            <w:tcW w:w="1701" w:type="dxa"/>
            <w:noWrap/>
            <w:hideMark/>
          </w:tcPr>
          <w:p w14:paraId="36E0231E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4FB006BF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1%</w:t>
            </w:r>
          </w:p>
        </w:tc>
      </w:tr>
      <w:tr w:rsidR="00AE2BBF" w:rsidRPr="00AE2BBF" w14:paraId="2E6FF635" w14:textId="77777777" w:rsidTr="00AA3D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0B0CE64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Anden kommunal afdeling</w:t>
            </w:r>
          </w:p>
        </w:tc>
        <w:tc>
          <w:tcPr>
            <w:tcW w:w="1701" w:type="dxa"/>
            <w:noWrap/>
            <w:hideMark/>
          </w:tcPr>
          <w:p w14:paraId="39EA99F6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78213EB7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2%</w:t>
            </w:r>
          </w:p>
        </w:tc>
      </w:tr>
      <w:tr w:rsidR="00AE2BBF" w:rsidRPr="00AE2BBF" w14:paraId="67DE0351" w14:textId="77777777" w:rsidTr="00AA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18450F52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Anden offentlig myndighed</w:t>
            </w:r>
          </w:p>
        </w:tc>
        <w:tc>
          <w:tcPr>
            <w:tcW w:w="1701" w:type="dxa"/>
            <w:noWrap/>
            <w:hideMark/>
          </w:tcPr>
          <w:p w14:paraId="2C697BE1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16</w:t>
            </w:r>
          </w:p>
        </w:tc>
        <w:tc>
          <w:tcPr>
            <w:tcW w:w="1701" w:type="dxa"/>
            <w:noWrap/>
            <w:hideMark/>
          </w:tcPr>
          <w:p w14:paraId="65C23E54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4%</w:t>
            </w:r>
          </w:p>
        </w:tc>
      </w:tr>
      <w:tr w:rsidR="00AE2BBF" w:rsidRPr="00AE2BBF" w14:paraId="363A96D4" w14:textId="77777777" w:rsidTr="00AA3D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B321C5B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Daginstitution/Dagpleje</w:t>
            </w:r>
          </w:p>
        </w:tc>
        <w:tc>
          <w:tcPr>
            <w:tcW w:w="1701" w:type="dxa"/>
            <w:noWrap/>
            <w:hideMark/>
          </w:tcPr>
          <w:p w14:paraId="5C76B868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75</w:t>
            </w:r>
          </w:p>
        </w:tc>
        <w:tc>
          <w:tcPr>
            <w:tcW w:w="1701" w:type="dxa"/>
            <w:noWrap/>
            <w:hideMark/>
          </w:tcPr>
          <w:p w14:paraId="518D5675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17%</w:t>
            </w:r>
          </w:p>
        </w:tc>
      </w:tr>
      <w:tr w:rsidR="00AE2BBF" w:rsidRPr="00AE2BBF" w14:paraId="29E9D225" w14:textId="77777777" w:rsidTr="00AA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0B91212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Familiebehandling</w:t>
            </w:r>
          </w:p>
        </w:tc>
        <w:tc>
          <w:tcPr>
            <w:tcW w:w="1701" w:type="dxa"/>
            <w:noWrap/>
            <w:hideMark/>
          </w:tcPr>
          <w:p w14:paraId="56F6E1DA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58435391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3%</w:t>
            </w:r>
          </w:p>
        </w:tc>
      </w:tr>
      <w:tr w:rsidR="00AE2BBF" w:rsidRPr="00AE2BBF" w14:paraId="46D692E6" w14:textId="77777777" w:rsidTr="00AA3D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A2FA192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Kontaktperson</w:t>
            </w:r>
          </w:p>
        </w:tc>
        <w:tc>
          <w:tcPr>
            <w:tcW w:w="1701" w:type="dxa"/>
            <w:noWrap/>
            <w:hideMark/>
          </w:tcPr>
          <w:p w14:paraId="6056267E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640FA269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0%</w:t>
            </w:r>
          </w:p>
        </w:tc>
      </w:tr>
      <w:tr w:rsidR="00AE2BBF" w:rsidRPr="00AE2BBF" w14:paraId="6ABC2988" w14:textId="77777777" w:rsidTr="00AA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0CE6BF4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Krisecenter</w:t>
            </w:r>
          </w:p>
        </w:tc>
        <w:tc>
          <w:tcPr>
            <w:tcW w:w="1701" w:type="dxa"/>
            <w:noWrap/>
            <w:hideMark/>
          </w:tcPr>
          <w:p w14:paraId="7A1046C7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5D784A02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7%</w:t>
            </w:r>
          </w:p>
        </w:tc>
      </w:tr>
      <w:tr w:rsidR="00AE2BBF" w:rsidRPr="00AE2BBF" w14:paraId="425BCE6F" w14:textId="77777777" w:rsidTr="00AA3D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F923B72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Læge</w:t>
            </w:r>
          </w:p>
        </w:tc>
        <w:tc>
          <w:tcPr>
            <w:tcW w:w="1701" w:type="dxa"/>
            <w:noWrap/>
            <w:hideMark/>
          </w:tcPr>
          <w:p w14:paraId="37FF539D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593787A6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1%</w:t>
            </w:r>
          </w:p>
        </w:tc>
      </w:tr>
      <w:tr w:rsidR="00AE2BBF" w:rsidRPr="00AE2BBF" w14:paraId="1E9A76AA" w14:textId="77777777" w:rsidTr="00AA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70B5E13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Politi</w:t>
            </w:r>
          </w:p>
        </w:tc>
        <w:tc>
          <w:tcPr>
            <w:tcW w:w="1701" w:type="dxa"/>
            <w:noWrap/>
            <w:hideMark/>
          </w:tcPr>
          <w:p w14:paraId="6A24F25D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58</w:t>
            </w:r>
          </w:p>
        </w:tc>
        <w:tc>
          <w:tcPr>
            <w:tcW w:w="1701" w:type="dxa"/>
            <w:noWrap/>
            <w:hideMark/>
          </w:tcPr>
          <w:p w14:paraId="2672D678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13%</w:t>
            </w:r>
          </w:p>
        </w:tc>
      </w:tr>
      <w:tr w:rsidR="00AE2BBF" w:rsidRPr="00AE2BBF" w14:paraId="69F5479F" w14:textId="77777777" w:rsidTr="00AA3D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6C70CA9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Psykiatri</w:t>
            </w:r>
          </w:p>
        </w:tc>
        <w:tc>
          <w:tcPr>
            <w:tcW w:w="1701" w:type="dxa"/>
            <w:noWrap/>
            <w:hideMark/>
          </w:tcPr>
          <w:p w14:paraId="3D3D6C03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786586E7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2%</w:t>
            </w:r>
          </w:p>
        </w:tc>
      </w:tr>
      <w:tr w:rsidR="00AE2BBF" w:rsidRPr="00AE2BBF" w14:paraId="4431DA13" w14:textId="77777777" w:rsidTr="00AA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1C99AC6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Psykolog</w:t>
            </w:r>
          </w:p>
        </w:tc>
        <w:tc>
          <w:tcPr>
            <w:tcW w:w="1701" w:type="dxa"/>
            <w:noWrap/>
            <w:hideMark/>
          </w:tcPr>
          <w:p w14:paraId="2E4342A5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65608DEE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1%</w:t>
            </w:r>
          </w:p>
        </w:tc>
      </w:tr>
      <w:tr w:rsidR="00AE2BBF" w:rsidRPr="00AE2BBF" w14:paraId="497CE341" w14:textId="77777777" w:rsidTr="00AA3D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4787D2FC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SFO/Fritidshjem/Klub</w:t>
            </w:r>
          </w:p>
        </w:tc>
        <w:tc>
          <w:tcPr>
            <w:tcW w:w="1701" w:type="dxa"/>
            <w:noWrap/>
            <w:hideMark/>
          </w:tcPr>
          <w:p w14:paraId="40B5DD59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1BF963F8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1%</w:t>
            </w:r>
          </w:p>
        </w:tc>
      </w:tr>
      <w:tr w:rsidR="00AE2BBF" w:rsidRPr="00AE2BBF" w14:paraId="77297C37" w14:textId="77777777" w:rsidTr="00AA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57271D5D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Skole</w:t>
            </w:r>
          </w:p>
        </w:tc>
        <w:tc>
          <w:tcPr>
            <w:tcW w:w="1701" w:type="dxa"/>
            <w:noWrap/>
            <w:hideMark/>
          </w:tcPr>
          <w:p w14:paraId="129E5014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E72DA31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23%</w:t>
            </w:r>
          </w:p>
        </w:tc>
      </w:tr>
      <w:tr w:rsidR="00AE2BBF" w:rsidRPr="00AE2BBF" w14:paraId="11566867" w14:textId="77777777" w:rsidTr="00AA3D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0D8F31D6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Sundhedsplejerske</w:t>
            </w:r>
          </w:p>
        </w:tc>
        <w:tc>
          <w:tcPr>
            <w:tcW w:w="1701" w:type="dxa"/>
            <w:noWrap/>
            <w:hideMark/>
          </w:tcPr>
          <w:p w14:paraId="497788ED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09CCD00E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1%</w:t>
            </w:r>
          </w:p>
        </w:tc>
      </w:tr>
      <w:tr w:rsidR="00AE2BBF" w:rsidRPr="00AE2BBF" w14:paraId="7858BC8F" w14:textId="77777777" w:rsidTr="00AA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AEFFD8D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Sygehus</w:t>
            </w:r>
          </w:p>
        </w:tc>
        <w:tc>
          <w:tcPr>
            <w:tcW w:w="1701" w:type="dxa"/>
            <w:noWrap/>
            <w:hideMark/>
          </w:tcPr>
          <w:p w14:paraId="23DEE4AA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8F70A73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3%</w:t>
            </w:r>
          </w:p>
        </w:tc>
      </w:tr>
      <w:tr w:rsidR="00AE2BBF" w:rsidRPr="00AE2BBF" w14:paraId="5ADD2EEA" w14:textId="77777777" w:rsidTr="00AA3D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F46B188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Øvrige</w:t>
            </w:r>
          </w:p>
        </w:tc>
        <w:tc>
          <w:tcPr>
            <w:tcW w:w="1701" w:type="dxa"/>
            <w:noWrap/>
            <w:hideMark/>
          </w:tcPr>
          <w:p w14:paraId="5615AAB6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1842EF25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9%</w:t>
            </w:r>
          </w:p>
        </w:tc>
      </w:tr>
      <w:tr w:rsidR="00AE2BBF" w:rsidRPr="00AE2BBF" w14:paraId="010B105C" w14:textId="77777777" w:rsidTr="00AA3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725DA3FE" w14:textId="77777777" w:rsidR="00AE2BBF" w:rsidRPr="00AE2BBF" w:rsidRDefault="00AE2BBF" w:rsidP="00AE2BBF">
            <w:pPr>
              <w:spacing w:line="240" w:lineRule="auto"/>
              <w:rPr>
                <w:b w:val="0"/>
                <w:bCs w:val="0"/>
                <w:color w:val="000000"/>
              </w:rPr>
            </w:pPr>
            <w:r w:rsidRPr="00AE2BBF">
              <w:rPr>
                <w:b w:val="0"/>
                <w:bCs w:val="0"/>
                <w:color w:val="000000"/>
              </w:rPr>
              <w:t>Børne- og Ungerådgivningscentret</w:t>
            </w:r>
          </w:p>
        </w:tc>
        <w:tc>
          <w:tcPr>
            <w:tcW w:w="1701" w:type="dxa"/>
            <w:noWrap/>
            <w:hideMark/>
          </w:tcPr>
          <w:p w14:paraId="0D693113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57</w:t>
            </w:r>
          </w:p>
        </w:tc>
        <w:tc>
          <w:tcPr>
            <w:tcW w:w="1701" w:type="dxa"/>
            <w:noWrap/>
            <w:hideMark/>
          </w:tcPr>
          <w:p w14:paraId="178C6BAA" w14:textId="77777777" w:rsidR="00AE2BBF" w:rsidRPr="00AE2BBF" w:rsidRDefault="00AE2BBF" w:rsidP="00AE2B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2BBF">
              <w:rPr>
                <w:color w:val="000000"/>
              </w:rPr>
              <w:t>13%</w:t>
            </w:r>
          </w:p>
        </w:tc>
      </w:tr>
      <w:tr w:rsidR="00AE2BBF" w:rsidRPr="00AE2BBF" w14:paraId="200CF12A" w14:textId="77777777" w:rsidTr="00AA3D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207F445C" w14:textId="6F7B3590" w:rsidR="00AE2BBF" w:rsidRPr="00AE2BBF" w:rsidRDefault="00AE2BBF" w:rsidP="00AE2BBF">
            <w:pPr>
              <w:spacing w:line="240" w:lineRule="auto"/>
              <w:rPr>
                <w:color w:val="000000"/>
              </w:rPr>
            </w:pPr>
            <w:r w:rsidRPr="00AE2BBF">
              <w:rPr>
                <w:color w:val="000000"/>
              </w:rPr>
              <w:t>I alt</w:t>
            </w:r>
          </w:p>
        </w:tc>
        <w:tc>
          <w:tcPr>
            <w:tcW w:w="1701" w:type="dxa"/>
            <w:noWrap/>
            <w:hideMark/>
          </w:tcPr>
          <w:p w14:paraId="4D6E33F8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AE2BBF">
              <w:rPr>
                <w:b/>
                <w:bCs/>
                <w:color w:val="000000"/>
              </w:rPr>
              <w:t>437</w:t>
            </w:r>
          </w:p>
        </w:tc>
        <w:tc>
          <w:tcPr>
            <w:tcW w:w="1701" w:type="dxa"/>
            <w:noWrap/>
            <w:hideMark/>
          </w:tcPr>
          <w:p w14:paraId="17CC9F6E" w14:textId="77777777" w:rsidR="00AE2BBF" w:rsidRPr="00AE2BBF" w:rsidRDefault="00AE2BBF" w:rsidP="00AE2B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AE2BBF">
              <w:rPr>
                <w:b/>
                <w:bCs/>
                <w:color w:val="000000"/>
              </w:rPr>
              <w:t>100%</w:t>
            </w:r>
          </w:p>
        </w:tc>
      </w:tr>
    </w:tbl>
    <w:p w14:paraId="1DD77307" w14:textId="77777777" w:rsidR="00AE2BBF" w:rsidRDefault="00AE2BBF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12382D4" w14:textId="1DCD40D5" w:rsidR="00706603" w:rsidRDefault="00AE2BBF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Som det ses, er </w:t>
      </w:r>
      <w:r w:rsidR="00706603">
        <w:t xml:space="preserve">billedet klart: </w:t>
      </w:r>
      <w:r w:rsidR="00534E8D">
        <w:t>Personalet i s</w:t>
      </w:r>
      <w:r>
        <w:t>koler</w:t>
      </w:r>
      <w:r w:rsidR="00534E8D">
        <w:t xml:space="preserve"> og</w:t>
      </w:r>
      <w:r>
        <w:t xml:space="preserve"> daginstitutioner </w:t>
      </w:r>
      <w:r w:rsidR="00706603">
        <w:t xml:space="preserve">er </w:t>
      </w:r>
      <w:r>
        <w:t xml:space="preserve">dem, der anmelder mest om </w:t>
      </w:r>
      <w:r w:rsidR="00E6189C">
        <w:t xml:space="preserve">mistanke </w:t>
      </w:r>
      <w:r>
        <w:t xml:space="preserve">overgreb. </w:t>
      </w:r>
      <w:r w:rsidR="00706603">
        <w:t xml:space="preserve">Det synes også klart, at </w:t>
      </w:r>
      <w:r w:rsidR="00600AFE">
        <w:t xml:space="preserve">hovedparten af </w:t>
      </w:r>
      <w:r w:rsidR="00706603">
        <w:t>de øvrige anmeldere er forskellige typer af fagpersoner</w:t>
      </w:r>
      <w:r w:rsidR="00586B13">
        <w:t>.</w:t>
      </w:r>
    </w:p>
    <w:p w14:paraId="6FA1B28F" w14:textId="77777777" w:rsidR="00E6189C" w:rsidRDefault="00E6189C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4C10F700" w14:textId="05AF924D" w:rsidR="006A7310" w:rsidRDefault="006A7310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I forlængelse af dataene bag </w:t>
      </w:r>
      <w:r w:rsidRPr="005003F2">
        <w:rPr>
          <w:i/>
          <w:iCs/>
        </w:rPr>
        <w:t xml:space="preserve">figur </w:t>
      </w:r>
      <w:r w:rsidR="0009598F" w:rsidRPr="005003F2">
        <w:rPr>
          <w:i/>
          <w:iCs/>
        </w:rPr>
        <w:t>6</w:t>
      </w:r>
      <w:r>
        <w:t xml:space="preserve"> og det faktum, at skolerne i 2022 var de mest underrettende, ses i </w:t>
      </w:r>
      <w:r w:rsidRPr="005029E8">
        <w:rPr>
          <w:i/>
          <w:iCs/>
        </w:rPr>
        <w:t xml:space="preserve">figur </w:t>
      </w:r>
      <w:r w:rsidR="0009598F">
        <w:rPr>
          <w:i/>
          <w:iCs/>
        </w:rPr>
        <w:t>7</w:t>
      </w:r>
      <w:r w:rsidR="005029E8">
        <w:t xml:space="preserve"> </w:t>
      </w:r>
      <w:r>
        <w:t>en stor aldersmæssig spredning af elever, som der underrettet om</w:t>
      </w:r>
      <w:r w:rsidR="005029E8">
        <w:t xml:space="preserve">. Fordelingen svarer i det store hele til tendensen i </w:t>
      </w:r>
      <w:r w:rsidR="005029E8" w:rsidRPr="005003F2">
        <w:rPr>
          <w:i/>
          <w:iCs/>
        </w:rPr>
        <w:t xml:space="preserve">figur </w:t>
      </w:r>
      <w:r w:rsidR="0009598F" w:rsidRPr="005003F2">
        <w:rPr>
          <w:i/>
          <w:iCs/>
        </w:rPr>
        <w:t>6</w:t>
      </w:r>
      <w:r w:rsidR="005029E8">
        <w:t>, selv om de 13 underretninger på 14 årige afviger markant.</w:t>
      </w:r>
    </w:p>
    <w:p w14:paraId="3765A0B5" w14:textId="28E591CE" w:rsidR="006A7310" w:rsidRDefault="006A7310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5C7F9EC1" w14:textId="0EF71FF4" w:rsidR="006A7310" w:rsidRPr="00B14A66" w:rsidRDefault="00B14A66" w:rsidP="00B14A66">
      <w:pPr>
        <w:pStyle w:val="Tabel-figur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Figur </w:t>
      </w:r>
      <w:r w:rsidR="0009598F">
        <w:rPr>
          <w:b w:val="0"/>
          <w:bCs/>
          <w:i/>
          <w:iCs/>
        </w:rPr>
        <w:t>7</w:t>
      </w:r>
      <w:r w:rsidRPr="00B14A66">
        <w:rPr>
          <w:b w:val="0"/>
          <w:bCs/>
          <w:i/>
          <w:iCs/>
        </w:rPr>
        <w:br/>
        <w:t xml:space="preserve">Underretninger </w:t>
      </w:r>
      <w:r>
        <w:rPr>
          <w:b w:val="0"/>
          <w:bCs/>
          <w:i/>
          <w:iCs/>
        </w:rPr>
        <w:t xml:space="preserve">fra skolerne i 2022 </w:t>
      </w:r>
      <w:r w:rsidRPr="00B14A66">
        <w:rPr>
          <w:b w:val="0"/>
          <w:bCs/>
          <w:i/>
          <w:iCs/>
        </w:rPr>
        <w:t xml:space="preserve">om overgreb 2022, fordelt på </w:t>
      </w:r>
      <w:r>
        <w:rPr>
          <w:b w:val="0"/>
          <w:bCs/>
          <w:i/>
          <w:iCs/>
        </w:rPr>
        <w:t>alder</w:t>
      </w:r>
      <w:r w:rsidRPr="00B14A66">
        <w:rPr>
          <w:b w:val="0"/>
          <w:bCs/>
          <w:i/>
          <w:iCs/>
        </w:rPr>
        <w:t>.</w:t>
      </w:r>
    </w:p>
    <w:p w14:paraId="041CED34" w14:textId="0B56BEED" w:rsidR="004C198E" w:rsidRDefault="006A7310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noProof/>
        </w:rPr>
        <w:drawing>
          <wp:inline distT="0" distB="0" distL="0" distR="0" wp14:anchorId="04EDD091" wp14:editId="79295F56">
            <wp:extent cx="4320000" cy="1963420"/>
            <wp:effectExtent l="0" t="0" r="4445" b="1778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C5130A7F-B02E-4CFE-917F-BBBDBFC332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BDAD3C" w14:textId="77777777" w:rsidR="00545B2E" w:rsidRDefault="00545B2E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77EA670" w14:textId="7D175D06" w:rsidR="004C198E" w:rsidRDefault="007354A3" w:rsidP="007354A3">
      <w:pPr>
        <w:pStyle w:val="Overskrift2"/>
      </w:pPr>
      <w:r>
        <w:t xml:space="preserve">Skyldes de flere underretninger </w:t>
      </w:r>
      <w:r w:rsidR="00545B2E">
        <w:t>d</w:t>
      </w:r>
      <w:r>
        <w:t>et stigende befolkningstal</w:t>
      </w:r>
      <w:r w:rsidR="00B14A66">
        <w:t>?</w:t>
      </w:r>
    </w:p>
    <w:p w14:paraId="352EF2AC" w14:textId="6E429281" w:rsidR="00545B2E" w:rsidRDefault="00545B2E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Det er nærliggende at forvente, at væksten i underretninger er en direkte følge af, at </w:t>
      </w:r>
      <w:r w:rsidR="00C31BE6">
        <w:t>befolknings</w:t>
      </w:r>
      <w:r>
        <w:t xml:space="preserve">tallet </w:t>
      </w:r>
      <w:r w:rsidR="00C31BE6">
        <w:t xml:space="preserve">i Høje-Taastrup Kommune </w:t>
      </w:r>
      <w:r>
        <w:t>er øget.</w:t>
      </w:r>
    </w:p>
    <w:p w14:paraId="28E3AC4E" w14:textId="77777777" w:rsidR="00545B2E" w:rsidRDefault="00545B2E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2F4B9969" w14:textId="5EB165E5" w:rsidR="009522AF" w:rsidRDefault="00545B2E" w:rsidP="009522AF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De</w:t>
      </w:r>
      <w:r w:rsidR="00FD46C5">
        <w:t xml:space="preserve">t </w:t>
      </w:r>
      <w:r w:rsidR="009522AF">
        <w:t>er imidlertid ikke en fuldstændig forklaring</w:t>
      </w:r>
      <w:r w:rsidR="00C31BE6">
        <w:t xml:space="preserve"> på tilvæksten</w:t>
      </w:r>
      <w:r w:rsidR="009522AF">
        <w:t>. V</w:t>
      </w:r>
      <w:r>
        <w:t xml:space="preserve">æksten i underretninger </w:t>
      </w:r>
      <w:r w:rsidR="00FD46C5">
        <w:t xml:space="preserve">over en årrække </w:t>
      </w:r>
      <w:r>
        <w:t xml:space="preserve">har </w:t>
      </w:r>
      <w:r w:rsidR="009522AF">
        <w:t xml:space="preserve">nemlig </w:t>
      </w:r>
      <w:r>
        <w:t>været større end befolkningstilvæksten</w:t>
      </w:r>
      <w:r w:rsidR="00FD46C5">
        <w:t xml:space="preserve"> i den samme periode</w:t>
      </w:r>
      <w:r w:rsidR="00BB332D">
        <w:t>. Det kan ses</w:t>
      </w:r>
      <w:r w:rsidR="009522AF">
        <w:t xml:space="preserve"> </w:t>
      </w:r>
      <w:r w:rsidR="00BB332D">
        <w:t xml:space="preserve">i </w:t>
      </w:r>
      <w:r w:rsidR="00BB332D" w:rsidRPr="00BB332D">
        <w:rPr>
          <w:i/>
          <w:iCs/>
        </w:rPr>
        <w:t xml:space="preserve">figur </w:t>
      </w:r>
      <w:r w:rsidR="0009598F">
        <w:rPr>
          <w:i/>
          <w:iCs/>
        </w:rPr>
        <w:t>8</w:t>
      </w:r>
      <w:r w:rsidR="00BB332D">
        <w:t xml:space="preserve"> </w:t>
      </w:r>
      <w:r w:rsidR="009522AF">
        <w:t>for årene 2014-2022</w:t>
      </w:r>
      <w:r>
        <w:t>.</w:t>
      </w:r>
    </w:p>
    <w:p w14:paraId="4C141671" w14:textId="77777777" w:rsidR="009522AF" w:rsidRDefault="009522AF" w:rsidP="009522AF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1909B0CC" w14:textId="5D817BC7" w:rsidR="009C6BCD" w:rsidRDefault="009522AF" w:rsidP="009522AF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Efter en korrektion </w:t>
      </w:r>
      <w:r w:rsidR="00545B2E">
        <w:t>for befolkningsudviklingen</w:t>
      </w:r>
      <w:r>
        <w:t xml:space="preserve"> </w:t>
      </w:r>
      <w:r w:rsidR="00E6189C">
        <w:t>ses</w:t>
      </w:r>
      <w:r>
        <w:t xml:space="preserve">, at </w:t>
      </w:r>
      <w:r w:rsidR="00FD46C5">
        <w:t>andelen af børn</w:t>
      </w:r>
      <w:r>
        <w:t xml:space="preserve"> med </w:t>
      </w:r>
      <w:r w:rsidR="00FD46C5">
        <w:t xml:space="preserve">en </w:t>
      </w:r>
      <w:r w:rsidR="009C6BCD">
        <w:t>underretning</w:t>
      </w:r>
      <w:r w:rsidR="00FD46C5">
        <w:t xml:space="preserve"> er steget</w:t>
      </w:r>
      <w:r w:rsidR="009C6BCD">
        <w:t xml:space="preserve"> </w:t>
      </w:r>
      <w:r>
        <w:t xml:space="preserve">støt gennem </w:t>
      </w:r>
      <w:r w:rsidR="00BB332D">
        <w:t>disse 9 år</w:t>
      </w:r>
      <w:r w:rsidR="00E6189C">
        <w:t xml:space="preserve"> – fra 5,1 % i 2014 til 10,8 % i 2022. </w:t>
      </w:r>
      <w:r>
        <w:t xml:space="preserve">Således var det i 2022 ca. hvert niende barn, der blev underrettet om, </w:t>
      </w:r>
      <w:r w:rsidR="00BB332D">
        <w:t xml:space="preserve">hvor det i 2014 blot var </w:t>
      </w:r>
      <w:r>
        <w:t xml:space="preserve">hvert 20. barn. Tilsvarende er andelen af underretninger </w:t>
      </w:r>
      <w:r w:rsidR="009C6BCD">
        <w:t>om overgreb</w:t>
      </w:r>
      <w:r>
        <w:t xml:space="preserve"> også vokset</w:t>
      </w:r>
      <w:r w:rsidR="00BB332D">
        <w:t xml:space="preserve"> fra 0,2 % i 2014 til 2,8 % i 2022.</w:t>
      </w:r>
    </w:p>
    <w:p w14:paraId="7C09789B" w14:textId="77777777" w:rsidR="009C6BCD" w:rsidRDefault="009C6BCD" w:rsidP="00545B2E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760D9633" w14:textId="2971594D" w:rsidR="009F2F1C" w:rsidRPr="00FD46C5" w:rsidRDefault="00FD46C5" w:rsidP="00FD46C5">
      <w:pPr>
        <w:pStyle w:val="Tabel-figur"/>
        <w:rPr>
          <w:b w:val="0"/>
          <w:bCs/>
          <w:i/>
          <w:iCs/>
        </w:rPr>
      </w:pPr>
      <w:r w:rsidRPr="00FD46C5">
        <w:rPr>
          <w:b w:val="0"/>
          <w:bCs/>
          <w:i/>
          <w:iCs/>
        </w:rPr>
        <w:t xml:space="preserve">Figur </w:t>
      </w:r>
      <w:r w:rsidR="0009598F">
        <w:rPr>
          <w:b w:val="0"/>
          <w:bCs/>
          <w:i/>
          <w:iCs/>
        </w:rPr>
        <w:t>8</w:t>
      </w:r>
      <w:r w:rsidRPr="00FD46C5">
        <w:rPr>
          <w:b w:val="0"/>
          <w:bCs/>
          <w:i/>
          <w:iCs/>
        </w:rPr>
        <w:br/>
      </w:r>
      <w:r w:rsidR="00866A62" w:rsidRPr="00FD46C5">
        <w:rPr>
          <w:b w:val="0"/>
          <w:bCs/>
          <w:i/>
          <w:iCs/>
        </w:rPr>
        <w:t xml:space="preserve">Andel børn med underretning og underretning vedr. </w:t>
      </w:r>
      <w:r w:rsidR="00E6189C">
        <w:rPr>
          <w:b w:val="0"/>
          <w:bCs/>
          <w:i/>
          <w:iCs/>
        </w:rPr>
        <w:t xml:space="preserve">mistanke om </w:t>
      </w:r>
      <w:r w:rsidR="00866A62" w:rsidRPr="00FD46C5">
        <w:rPr>
          <w:b w:val="0"/>
          <w:bCs/>
          <w:i/>
          <w:iCs/>
        </w:rPr>
        <w:t>overgreb</w:t>
      </w:r>
      <w:r>
        <w:rPr>
          <w:b w:val="0"/>
          <w:bCs/>
          <w:i/>
          <w:iCs/>
        </w:rPr>
        <w:t xml:space="preserve">, </w:t>
      </w:r>
      <w:r w:rsidR="00866A62" w:rsidRPr="00FD46C5">
        <w:rPr>
          <w:b w:val="0"/>
          <w:bCs/>
          <w:i/>
          <w:iCs/>
        </w:rPr>
        <w:t>0-17 år</w:t>
      </w:r>
      <w:r>
        <w:rPr>
          <w:b w:val="0"/>
          <w:bCs/>
          <w:i/>
          <w:iCs/>
        </w:rPr>
        <w:t>ige i 2014</w:t>
      </w:r>
      <w:r w:rsidR="00E6189C">
        <w:rPr>
          <w:b w:val="0"/>
          <w:bCs/>
          <w:i/>
          <w:iCs/>
        </w:rPr>
        <w:t>-</w:t>
      </w:r>
      <w:r>
        <w:rPr>
          <w:b w:val="0"/>
          <w:bCs/>
          <w:i/>
          <w:iCs/>
        </w:rPr>
        <w:t>2022.</w:t>
      </w:r>
    </w:p>
    <w:p w14:paraId="45BEF1D0" w14:textId="494F824B" w:rsidR="00866A62" w:rsidRPr="00FD46C5" w:rsidRDefault="00866A62" w:rsidP="003E62A3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i/>
          <w:iCs/>
        </w:rPr>
      </w:pPr>
    </w:p>
    <w:p w14:paraId="0A4646E6" w14:textId="451A9C41" w:rsidR="00866A62" w:rsidRDefault="00866A62" w:rsidP="003E62A3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noProof/>
        </w:rPr>
        <w:drawing>
          <wp:inline distT="0" distB="0" distL="0" distR="0" wp14:anchorId="28E93405" wp14:editId="67231381">
            <wp:extent cx="5400000" cy="3322800"/>
            <wp:effectExtent l="0" t="0" r="10795" b="11430"/>
            <wp:docPr id="35" name="Diagram 35">
              <a:extLst xmlns:a="http://schemas.openxmlformats.org/drawingml/2006/main">
                <a:ext uri="{FF2B5EF4-FFF2-40B4-BE49-F238E27FC236}">
                  <a16:creationId xmlns:a16="http://schemas.microsoft.com/office/drawing/2014/main" id="{BD308C49-7A9A-483C-B9EF-2066081E4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866A62" w:rsidSect="000A3136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386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9979" w14:textId="77777777" w:rsidR="00C1208E" w:rsidRPr="009C6E3D" w:rsidRDefault="00C1208E">
      <w:r w:rsidRPr="009C6E3D">
        <w:separator/>
      </w:r>
    </w:p>
  </w:endnote>
  <w:endnote w:type="continuationSeparator" w:id="0">
    <w:p w14:paraId="4A3D3758" w14:textId="77777777" w:rsidR="00C1208E" w:rsidRPr="009C6E3D" w:rsidRDefault="00C1208E">
      <w:r w:rsidRPr="009C6E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F298" w14:textId="77777777" w:rsidR="00C1208E" w:rsidRPr="003E62A3" w:rsidRDefault="00C1208E">
    <w:pPr>
      <w:pStyle w:val="Sidefod"/>
      <w:tabs>
        <w:tab w:val="clear" w:pos="4819"/>
      </w:tabs>
    </w:pPr>
    <w:r w:rsidRPr="009C6E3D">
      <w:rPr>
        <w:sz w:val="20"/>
      </w:rPr>
      <w:tab/>
    </w:r>
    <w:r w:rsidRPr="003E62A3">
      <w:rPr>
        <w:rStyle w:val="Sidetal"/>
      </w:rPr>
      <w:fldChar w:fldCharType="begin"/>
    </w:r>
    <w:r w:rsidRPr="003E62A3">
      <w:rPr>
        <w:rStyle w:val="Sidetal"/>
      </w:rPr>
      <w:instrText xml:space="preserve"> PAGE </w:instrText>
    </w:r>
    <w:r w:rsidRPr="003E62A3">
      <w:rPr>
        <w:rStyle w:val="Sidetal"/>
      </w:rPr>
      <w:fldChar w:fldCharType="separate"/>
    </w:r>
    <w:r w:rsidRPr="003E62A3">
      <w:rPr>
        <w:rStyle w:val="Sidetal"/>
        <w:noProof/>
      </w:rPr>
      <w:t>2</w:t>
    </w:r>
    <w:r w:rsidRPr="003E62A3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4821" w:tblpY="1536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7"/>
      <w:gridCol w:w="1695"/>
      <w:gridCol w:w="1694"/>
    </w:tblGrid>
    <w:tr w:rsidR="00C1208E" w:rsidRPr="009C6E3D" w14:paraId="6B1B8FBE" w14:textId="77777777" w:rsidTr="00C1208E">
      <w:tc>
        <w:tcPr>
          <w:tcW w:w="1697" w:type="dxa"/>
        </w:tcPr>
        <w:p w14:paraId="1D895942" w14:textId="77777777" w:rsidR="00C1208E" w:rsidRPr="009C6E3D" w:rsidRDefault="00C1208E" w:rsidP="00C95DFC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r w:rsidRPr="009C6E3D">
            <w:rPr>
              <w:sz w:val="16"/>
              <w:szCs w:val="16"/>
            </w:rPr>
            <w:t>Sagsbehandler</w:t>
          </w:r>
        </w:p>
      </w:tc>
      <w:tc>
        <w:tcPr>
          <w:tcW w:w="1695" w:type="dxa"/>
        </w:tcPr>
        <w:p w14:paraId="3931FFC9" w14:textId="77777777" w:rsidR="00C1208E" w:rsidRPr="009C6E3D" w:rsidRDefault="00C1208E" w:rsidP="00C95DFC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proofErr w:type="spellStart"/>
          <w:r w:rsidRPr="009C6E3D">
            <w:rPr>
              <w:sz w:val="16"/>
              <w:szCs w:val="16"/>
            </w:rPr>
            <w:t>Doknr</w:t>
          </w:r>
          <w:proofErr w:type="spellEnd"/>
          <w:r w:rsidRPr="009C6E3D">
            <w:rPr>
              <w:sz w:val="16"/>
              <w:szCs w:val="16"/>
            </w:rPr>
            <w:t>.</w:t>
          </w:r>
        </w:p>
      </w:tc>
      <w:tc>
        <w:tcPr>
          <w:tcW w:w="1694" w:type="dxa"/>
        </w:tcPr>
        <w:p w14:paraId="4E2E8E72" w14:textId="77777777" w:rsidR="00C1208E" w:rsidRPr="009C6E3D" w:rsidRDefault="00C1208E" w:rsidP="00C95DFC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r w:rsidRPr="009C6E3D">
            <w:rPr>
              <w:sz w:val="16"/>
              <w:szCs w:val="16"/>
            </w:rPr>
            <w:t>Sagsnr.</w:t>
          </w:r>
        </w:p>
      </w:tc>
    </w:tr>
    <w:tr w:rsidR="00C1208E" w:rsidRPr="009C6E3D" w14:paraId="018BDB36" w14:textId="77777777" w:rsidTr="00C1208E">
      <w:tc>
        <w:tcPr>
          <w:tcW w:w="1697" w:type="dxa"/>
        </w:tcPr>
        <w:p w14:paraId="1B664E2F" w14:textId="77777777" w:rsidR="00C1208E" w:rsidRPr="009C6E3D" w:rsidRDefault="00C1208E" w:rsidP="009C6E3D">
          <w:pPr>
            <w:pStyle w:val="SidefodTekst"/>
          </w:pPr>
          <w:proofErr w:type="spellStart"/>
          <w:r w:rsidRPr="009C6E3D">
            <w:t>ThomasSoe</w:t>
          </w:r>
          <w:proofErr w:type="spellEnd"/>
        </w:p>
      </w:tc>
      <w:tc>
        <w:tcPr>
          <w:tcW w:w="1695" w:type="dxa"/>
        </w:tcPr>
        <w:p w14:paraId="3ED212C1" w14:textId="150201FC" w:rsidR="00C1208E" w:rsidRPr="009C6E3D" w:rsidRDefault="00AD57FD" w:rsidP="009C6E3D">
          <w:pPr>
            <w:pStyle w:val="SidefodTekst"/>
          </w:pPr>
          <w:r>
            <w:t>9807</w:t>
          </w:r>
          <w:r w:rsidR="00C1208E">
            <w:t>/2</w:t>
          </w:r>
          <w:r>
            <w:t>3</w:t>
          </w:r>
        </w:p>
      </w:tc>
      <w:tc>
        <w:tcPr>
          <w:tcW w:w="1694" w:type="dxa"/>
        </w:tcPr>
        <w:p w14:paraId="1C263A00" w14:textId="77777777" w:rsidR="00C1208E" w:rsidRPr="009C6E3D" w:rsidRDefault="00C1208E" w:rsidP="009C6E3D">
          <w:pPr>
            <w:pStyle w:val="SidefodTekst"/>
          </w:pPr>
          <w:r w:rsidRPr="009C6E3D">
            <w:t>14/492</w:t>
          </w:r>
        </w:p>
      </w:tc>
    </w:tr>
  </w:tbl>
  <w:p w14:paraId="6D65457C" w14:textId="77777777" w:rsidR="00C1208E" w:rsidRPr="009C6E3D" w:rsidRDefault="00C1208E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14:paraId="61279FF4" w14:textId="77777777" w:rsidR="00C1208E" w:rsidRPr="009C6E3D" w:rsidRDefault="00C1208E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14:paraId="48304D66" w14:textId="77777777" w:rsidR="00C1208E" w:rsidRPr="009C6E3D" w:rsidRDefault="00C1208E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14:paraId="00162244" w14:textId="77777777" w:rsidR="00C1208E" w:rsidRPr="009C6E3D" w:rsidRDefault="00C1208E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14:paraId="6C2D46DE" w14:textId="77777777" w:rsidR="00C1208E" w:rsidRPr="009C6E3D" w:rsidRDefault="00C1208E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6FB1" w14:textId="77777777" w:rsidR="00C1208E" w:rsidRPr="009C6E3D" w:rsidRDefault="00C1208E">
      <w:r w:rsidRPr="009C6E3D">
        <w:separator/>
      </w:r>
    </w:p>
  </w:footnote>
  <w:footnote w:type="continuationSeparator" w:id="0">
    <w:p w14:paraId="5B06B0E4" w14:textId="77777777" w:rsidR="00C1208E" w:rsidRPr="009C6E3D" w:rsidRDefault="00C1208E">
      <w:r w:rsidRPr="009C6E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47D3" w14:textId="77777777" w:rsidR="00C1208E" w:rsidRPr="009C6E3D" w:rsidRDefault="00C1208E">
    <w:pPr>
      <w:pStyle w:val="Sidehoved"/>
      <w:spacing w:after="0"/>
      <w:ind w:right="96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" w:tblpY="1"/>
      <w:tblOverlap w:val="never"/>
      <w:tblW w:w="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</w:tblGrid>
    <w:tr w:rsidR="00C1208E" w14:paraId="7DFC52F7" w14:textId="77777777" w:rsidTr="009C6E3D">
      <w:trPr>
        <w:trHeight w:hRule="exact" w:val="23"/>
      </w:trPr>
      <w:tc>
        <w:tcPr>
          <w:tcW w:w="9072" w:type="dxa"/>
          <w:shd w:val="clear" w:color="auto" w:fill="auto"/>
        </w:tcPr>
        <w:p w14:paraId="0148404A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bookmarkStart w:id="1" w:name="Acadre15latemergedIDTextBox" w:colFirst="0" w:colLast="0"/>
          <w:r w:rsidRPr="009C6E3D">
            <w:rPr>
              <w:sz w:val="4"/>
              <w:szCs w:val="4"/>
              <w:lang w:val="en-US"/>
            </w:rPr>
            <w:t>&lt;</w:t>
          </w:r>
          <w:proofErr w:type="spellStart"/>
          <w:r w:rsidRPr="009C6E3D">
            <w:rPr>
              <w:sz w:val="4"/>
              <w:szCs w:val="4"/>
              <w:lang w:val="en-US"/>
            </w:rPr>
            <w:t>ArrayOfAcadreLatemergedField</w:t>
          </w:r>
          <w:proofErr w:type="spellEnd"/>
          <w:r w:rsidRPr="009C6E3D">
            <w:rPr>
              <w:sz w:val="4"/>
              <w:szCs w:val="4"/>
              <w:lang w:val="en-US"/>
            </w:rPr>
            <w:t>&gt;</w:t>
          </w:r>
        </w:p>
        <w:p w14:paraId="4BD71A51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&lt;</w:t>
          </w:r>
          <w:proofErr w:type="spellStart"/>
          <w:r w:rsidRPr="009C6E3D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9C6E3D">
            <w:rPr>
              <w:sz w:val="4"/>
              <w:szCs w:val="4"/>
              <w:lang w:val="en-US"/>
            </w:rPr>
            <w:t>&gt;</w:t>
          </w:r>
        </w:p>
        <w:p w14:paraId="1619818D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  &lt;Name&gt;</w:t>
          </w:r>
          <w:proofErr w:type="spellStart"/>
          <w:r w:rsidRPr="009C6E3D">
            <w:rPr>
              <w:sz w:val="4"/>
              <w:szCs w:val="4"/>
              <w:lang w:val="en-US"/>
            </w:rPr>
            <w:t>DocumentAmountNumber</w:t>
          </w:r>
          <w:proofErr w:type="spellEnd"/>
          <w:r w:rsidRPr="009C6E3D">
            <w:rPr>
              <w:sz w:val="4"/>
              <w:szCs w:val="4"/>
              <w:lang w:val="en-US"/>
            </w:rPr>
            <w:t>&lt;/Name&gt;</w:t>
          </w:r>
        </w:p>
        <w:p w14:paraId="6B8BC148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  &lt;Value&gt;</w:t>
          </w:r>
          <w:proofErr w:type="spellStart"/>
          <w:r w:rsidRPr="009C6E3D">
            <w:rPr>
              <w:sz w:val="4"/>
              <w:szCs w:val="4"/>
              <w:lang w:val="en-US"/>
            </w:rPr>
            <w:t>AcadreDocumentAmountNumber</w:t>
          </w:r>
          <w:proofErr w:type="spellEnd"/>
          <w:r w:rsidRPr="009C6E3D">
            <w:rPr>
              <w:sz w:val="4"/>
              <w:szCs w:val="4"/>
              <w:lang w:val="en-US"/>
            </w:rPr>
            <w:t>&lt;/Value&gt;</w:t>
          </w:r>
        </w:p>
        <w:p w14:paraId="6B82D6CC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&lt;/</w:t>
          </w:r>
          <w:proofErr w:type="spellStart"/>
          <w:r w:rsidRPr="009C6E3D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9C6E3D">
            <w:rPr>
              <w:sz w:val="4"/>
              <w:szCs w:val="4"/>
              <w:lang w:val="en-US"/>
            </w:rPr>
            <w:t>&gt;</w:t>
          </w:r>
        </w:p>
        <w:p w14:paraId="157742D4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&lt;</w:t>
          </w:r>
          <w:proofErr w:type="spellStart"/>
          <w:r w:rsidRPr="009C6E3D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9C6E3D">
            <w:rPr>
              <w:sz w:val="4"/>
              <w:szCs w:val="4"/>
              <w:lang w:val="en-US"/>
            </w:rPr>
            <w:t>&gt;</w:t>
          </w:r>
        </w:p>
        <w:p w14:paraId="1B4B7617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  &lt;Name&gt;</w:t>
          </w:r>
          <w:proofErr w:type="spellStart"/>
          <w:r w:rsidRPr="009C6E3D">
            <w:rPr>
              <w:sz w:val="4"/>
              <w:szCs w:val="4"/>
              <w:lang w:val="en-US"/>
            </w:rPr>
            <w:t>DocumentUniqueNumber</w:t>
          </w:r>
          <w:proofErr w:type="spellEnd"/>
          <w:r w:rsidRPr="009C6E3D">
            <w:rPr>
              <w:sz w:val="4"/>
              <w:szCs w:val="4"/>
              <w:lang w:val="en-US"/>
            </w:rPr>
            <w:t>&lt;/Name&gt;</w:t>
          </w:r>
        </w:p>
        <w:p w14:paraId="38FE173D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  &lt;Value&gt;</w:t>
          </w:r>
          <w:proofErr w:type="spellStart"/>
          <w:r w:rsidRPr="009C6E3D">
            <w:rPr>
              <w:sz w:val="4"/>
              <w:szCs w:val="4"/>
              <w:lang w:val="en-US"/>
            </w:rPr>
            <w:t>AcadreDocumentUniqueNumber</w:t>
          </w:r>
          <w:proofErr w:type="spellEnd"/>
          <w:r w:rsidRPr="009C6E3D">
            <w:rPr>
              <w:sz w:val="4"/>
              <w:szCs w:val="4"/>
              <w:lang w:val="en-US"/>
            </w:rPr>
            <w:t>&lt;/Value&gt;</w:t>
          </w:r>
        </w:p>
        <w:p w14:paraId="06CE528F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&lt;/</w:t>
          </w:r>
          <w:proofErr w:type="spellStart"/>
          <w:r w:rsidRPr="009C6E3D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9C6E3D">
            <w:rPr>
              <w:sz w:val="4"/>
              <w:szCs w:val="4"/>
              <w:lang w:val="en-US"/>
            </w:rPr>
            <w:t>&gt;</w:t>
          </w:r>
        </w:p>
        <w:p w14:paraId="3441F1CB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&lt;</w:t>
          </w:r>
          <w:proofErr w:type="spellStart"/>
          <w:r w:rsidRPr="009C6E3D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9C6E3D">
            <w:rPr>
              <w:sz w:val="4"/>
              <w:szCs w:val="4"/>
              <w:lang w:val="en-US"/>
            </w:rPr>
            <w:t>&gt;</w:t>
          </w:r>
        </w:p>
        <w:p w14:paraId="60E5DB46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  &lt;Name&gt;</w:t>
          </w:r>
          <w:proofErr w:type="spellStart"/>
          <w:r w:rsidRPr="009C6E3D">
            <w:rPr>
              <w:sz w:val="4"/>
              <w:szCs w:val="4"/>
              <w:lang w:val="en-US"/>
            </w:rPr>
            <w:t>DocumentNo</w:t>
          </w:r>
          <w:proofErr w:type="spellEnd"/>
          <w:r w:rsidRPr="009C6E3D">
            <w:rPr>
              <w:sz w:val="4"/>
              <w:szCs w:val="4"/>
              <w:lang w:val="en-US"/>
            </w:rPr>
            <w:t>&lt;/Name&gt;</w:t>
          </w:r>
        </w:p>
        <w:p w14:paraId="6D1A0729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  &lt;Value&gt;</w:t>
          </w:r>
          <w:proofErr w:type="spellStart"/>
          <w:r w:rsidRPr="009C6E3D">
            <w:rPr>
              <w:sz w:val="4"/>
              <w:szCs w:val="4"/>
              <w:lang w:val="en-US"/>
            </w:rPr>
            <w:t>AcadreDocumentNo</w:t>
          </w:r>
          <w:proofErr w:type="spellEnd"/>
          <w:r w:rsidRPr="009C6E3D">
            <w:rPr>
              <w:sz w:val="4"/>
              <w:szCs w:val="4"/>
              <w:lang w:val="en-US"/>
            </w:rPr>
            <w:t>&lt;/Value&gt;</w:t>
          </w:r>
        </w:p>
        <w:p w14:paraId="1A919DF8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&lt;/</w:t>
          </w:r>
          <w:proofErr w:type="spellStart"/>
          <w:r w:rsidRPr="009C6E3D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9C6E3D">
            <w:rPr>
              <w:sz w:val="4"/>
              <w:szCs w:val="4"/>
              <w:lang w:val="en-US"/>
            </w:rPr>
            <w:t>&gt;</w:t>
          </w:r>
        </w:p>
        <w:p w14:paraId="5F65E020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&lt;</w:t>
          </w:r>
          <w:proofErr w:type="spellStart"/>
          <w:r w:rsidRPr="009C6E3D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9C6E3D">
            <w:rPr>
              <w:sz w:val="4"/>
              <w:szCs w:val="4"/>
              <w:lang w:val="en-US"/>
            </w:rPr>
            <w:t>&gt;</w:t>
          </w:r>
        </w:p>
        <w:p w14:paraId="62540BD5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  &lt;Name&gt;</w:t>
          </w:r>
          <w:proofErr w:type="spellStart"/>
          <w:r w:rsidRPr="009C6E3D">
            <w:rPr>
              <w:sz w:val="4"/>
              <w:szCs w:val="4"/>
              <w:lang w:val="en-US"/>
            </w:rPr>
            <w:t>DokumentNummer</w:t>
          </w:r>
          <w:proofErr w:type="spellEnd"/>
          <w:r w:rsidRPr="009C6E3D">
            <w:rPr>
              <w:sz w:val="4"/>
              <w:szCs w:val="4"/>
              <w:lang w:val="en-US"/>
            </w:rPr>
            <w:t>&lt;/Name&gt;</w:t>
          </w:r>
        </w:p>
        <w:p w14:paraId="4D56CCE9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  &lt;Value&gt;</w:t>
          </w:r>
          <w:proofErr w:type="spellStart"/>
          <w:r w:rsidRPr="009C6E3D">
            <w:rPr>
              <w:sz w:val="4"/>
              <w:szCs w:val="4"/>
              <w:lang w:val="en-US"/>
            </w:rPr>
            <w:t>AcadreDokumentNummer</w:t>
          </w:r>
          <w:proofErr w:type="spellEnd"/>
          <w:r w:rsidRPr="009C6E3D">
            <w:rPr>
              <w:sz w:val="4"/>
              <w:szCs w:val="4"/>
              <w:lang w:val="en-US"/>
            </w:rPr>
            <w:t>&lt;/Value&gt;</w:t>
          </w:r>
        </w:p>
        <w:p w14:paraId="15FFDB04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&lt;/</w:t>
          </w:r>
          <w:proofErr w:type="spellStart"/>
          <w:r w:rsidRPr="009C6E3D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9C6E3D">
            <w:rPr>
              <w:sz w:val="4"/>
              <w:szCs w:val="4"/>
              <w:lang w:val="en-US"/>
            </w:rPr>
            <w:t>&gt;</w:t>
          </w:r>
        </w:p>
        <w:p w14:paraId="1381F02A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&lt;</w:t>
          </w:r>
          <w:proofErr w:type="spellStart"/>
          <w:r w:rsidRPr="009C6E3D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9C6E3D">
            <w:rPr>
              <w:sz w:val="4"/>
              <w:szCs w:val="4"/>
              <w:lang w:val="en-US"/>
            </w:rPr>
            <w:t>&gt;</w:t>
          </w:r>
        </w:p>
        <w:p w14:paraId="7AE72836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  &lt;Name&gt;</w:t>
          </w:r>
          <w:proofErr w:type="spellStart"/>
          <w:r w:rsidRPr="009C6E3D">
            <w:rPr>
              <w:sz w:val="4"/>
              <w:szCs w:val="4"/>
              <w:lang w:val="en-US"/>
            </w:rPr>
            <w:t>SupplementNumber</w:t>
          </w:r>
          <w:proofErr w:type="spellEnd"/>
          <w:r w:rsidRPr="009C6E3D">
            <w:rPr>
              <w:sz w:val="4"/>
              <w:szCs w:val="4"/>
              <w:lang w:val="en-US"/>
            </w:rPr>
            <w:t>&lt;/Name&gt;</w:t>
          </w:r>
        </w:p>
        <w:p w14:paraId="10FE9F39" w14:textId="77777777" w:rsidR="00C1208E" w:rsidRPr="009C6E3D" w:rsidRDefault="00C1208E" w:rsidP="009C6E3D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9C6E3D">
            <w:rPr>
              <w:sz w:val="4"/>
              <w:szCs w:val="4"/>
              <w:lang w:val="en-US"/>
            </w:rPr>
            <w:t xml:space="preserve">    &lt;Value&gt;</w:t>
          </w:r>
          <w:proofErr w:type="spellStart"/>
          <w:r w:rsidRPr="009C6E3D">
            <w:rPr>
              <w:sz w:val="4"/>
              <w:szCs w:val="4"/>
              <w:lang w:val="en-US"/>
            </w:rPr>
            <w:t>AcadreSupplementUniqueNumber</w:t>
          </w:r>
          <w:proofErr w:type="spellEnd"/>
          <w:r w:rsidRPr="009C6E3D">
            <w:rPr>
              <w:sz w:val="4"/>
              <w:szCs w:val="4"/>
              <w:lang w:val="en-US"/>
            </w:rPr>
            <w:t>&lt;/Value&gt;</w:t>
          </w:r>
        </w:p>
        <w:p w14:paraId="132F0E13" w14:textId="77777777" w:rsidR="00C1208E" w:rsidRDefault="00C1208E" w:rsidP="009C6E3D">
          <w:pPr>
            <w:pStyle w:val="Sidehoved"/>
            <w:spacing w:after="0" w:line="60" w:lineRule="exact"/>
            <w:rPr>
              <w:sz w:val="4"/>
              <w:szCs w:val="4"/>
            </w:rPr>
          </w:pPr>
          <w:r w:rsidRPr="009C6E3D">
            <w:rPr>
              <w:sz w:val="4"/>
              <w:szCs w:val="4"/>
              <w:lang w:val="en-US"/>
            </w:rPr>
            <w:t xml:space="preserve">  </w:t>
          </w:r>
          <w:r>
            <w:rPr>
              <w:sz w:val="4"/>
              <w:szCs w:val="4"/>
            </w:rPr>
            <w:t>&lt;/</w:t>
          </w:r>
          <w:proofErr w:type="spellStart"/>
          <w:r>
            <w:rPr>
              <w:sz w:val="4"/>
              <w:szCs w:val="4"/>
            </w:rPr>
            <w:t>AcadreLatemergedField</w:t>
          </w:r>
          <w:proofErr w:type="spellEnd"/>
          <w:r>
            <w:rPr>
              <w:sz w:val="4"/>
              <w:szCs w:val="4"/>
            </w:rPr>
            <w:t>&gt;</w:t>
          </w:r>
        </w:p>
        <w:p w14:paraId="0F3BA381" w14:textId="77777777" w:rsidR="00C1208E" w:rsidRDefault="00C1208E" w:rsidP="009C6E3D">
          <w:pPr>
            <w:pStyle w:val="Sidehoved"/>
            <w:spacing w:after="0" w:line="60" w:lineRule="exact"/>
            <w:rPr>
              <w:sz w:val="4"/>
              <w:szCs w:val="4"/>
            </w:rPr>
          </w:pPr>
          <w:r>
            <w:rPr>
              <w:sz w:val="4"/>
              <w:szCs w:val="4"/>
            </w:rPr>
            <w:t>&lt;/</w:t>
          </w:r>
          <w:proofErr w:type="spellStart"/>
          <w:r>
            <w:rPr>
              <w:sz w:val="4"/>
              <w:szCs w:val="4"/>
            </w:rPr>
            <w:t>ArrayOfAcadreLatemergedField</w:t>
          </w:r>
          <w:proofErr w:type="spellEnd"/>
          <w:r>
            <w:rPr>
              <w:sz w:val="4"/>
              <w:szCs w:val="4"/>
            </w:rPr>
            <w:t>&gt;</w:t>
          </w:r>
        </w:p>
      </w:tc>
    </w:tr>
    <w:bookmarkEnd w:id="1"/>
  </w:tbl>
  <w:p w14:paraId="5407DC65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4C9EE289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0665856E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7FBC7066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7B30F608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205B9036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73B83278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7C75110A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321B98C1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67C00225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4C1F4412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66833F54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54215CB8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1EEEEB91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4ECFE2A8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18371DBA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157C221E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56359F8E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6236EF70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708C8842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5A542D62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6A5DE789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2F8851EE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1BBBE52A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  <w:p w14:paraId="12533D99" w14:textId="77777777" w:rsidR="00C1208E" w:rsidRPr="009C6E3D" w:rsidRDefault="00C1208E" w:rsidP="008C2F22">
    <w:pPr>
      <w:pStyle w:val="Sidehoved"/>
      <w:spacing w:after="0" w:line="60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E3D"/>
    <w:multiLevelType w:val="hybridMultilevel"/>
    <w:tmpl w:val="B6C096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HTK - Notat.dotm"/>
    <w:docVar w:name="CreatedWithDtVersion" w:val="2.6.032"/>
    <w:docVar w:name="DocumentCreated" w:val="DocumentCreated"/>
    <w:docVar w:name="DocumentCreatedOK" w:val="DocumentCreatedOK"/>
    <w:docVar w:name="DocumentInitialized" w:val="OK"/>
    <w:docVar w:name="Encrypted_AcadreDataCaseDate" w:val="hq/HQEMC4mmK7OFTyUARUg=="/>
    <w:docVar w:name="Encrypted_AcadreDataCaseNumber" w:val="bW9u9SOBKac5i8LoKV14+w=="/>
    <w:docVar w:name="Encrypted_AcadreDataCaseResponsibleUserId" w:val="thnmSnk4O8+zJjZlG7n0hA=="/>
    <w:docVar w:name="Encrypted_AcadreDataCaseResponsibleUserInitials" w:val="syU37o9M+8c0o/zV5s4nWA=="/>
    <w:docVar w:name="Encrypted_AcadreDataCaseResponsibleUserName" w:val="fffDX1eyrJ2w5Z+wLibKGg=="/>
    <w:docVar w:name="Encrypted_AcadreDataCaseSagIndhold" w:val="ynH4xyyhcLE7WNKDQl1j+w=="/>
    <w:docVar w:name="Encrypted_AcadreDataCaseTitle" w:val="NcWgoH5nVp7c6lUa4ricojtGn/eYZIOOv7+aTyYZL4I5tFSGyrFml5diCONROuQk"/>
    <w:docVar w:name="Encrypted_AcadreDataDocumentCategory" w:val="Q0XWo4GJBJiTS2GAZn+orA=="/>
    <w:docVar w:name="Encrypted_AcadreDataDocumentCategoryLiteral" w:val="Q0XWo4GJBJiTS2GAZn+orA=="/>
    <w:docVar w:name="Encrypted_AcadreDataDocumentDate" w:val="fRZZ8cLznr9V72Uqv+J2Ng=="/>
    <w:docVar w:name="Encrypted_AcadreDataDocumentDescription" w:val="eBing814jijslJdhuOf99dFP4dtZNv9/P0VoFfJ+6PjPLdUMpN/ytJg/nI8AuFzSodbLLN3lcrBN5n+8pwM82A=="/>
    <w:docVar w:name="Encrypted_AcadreDataDocumentEvenOutInt" w:val="hkzhiUmdnR0gYA/I+vu4OA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thnmSnk4O8+zJjZlG7n0hA=="/>
    <w:docVar w:name="Encrypted_AcadreDataDocumentResponsibleUserInitials" w:val="syU37o9M+8c0o/zV5s4nWA=="/>
    <w:docVar w:name="Encrypted_AcadreDataDocumentResponsibleUserName" w:val="fffDX1eyrJ2w5Z+wLibKGg=="/>
    <w:docVar w:name="Encrypted_AcadreDataDocumentStatus" w:val="6p7wRqnJnSosHKwS7njWc40Ivkvmm1TZ9OfC+GtgtwU="/>
    <w:docVar w:name="Encrypted_AcadreDataDocumentStatusLiteral" w:val="NIVIwarKPk129xeXoJ87kg=="/>
    <w:docVar w:name="Encrypted_AcadreDataDocumentTitle" w:val="SzUUcXIZ2s6xwO0ysm+HbmjeyhbyUEaIvciLmpwTTxsfu8dTRkH0zcnp5AjCVW2P"/>
    <w:docVar w:name="Encrypted_AcadreDataDocumentType" w:val="/3T87mn8PW4Mciz5g4YcGw=="/>
    <w:docVar w:name="Encrypted_AcadreDataDocumentTypeLiteral" w:val="3cCIr9AKkGckzvaSoErv+g=="/>
    <w:docVar w:name="Encrypted_AcadreDataOrganisationUnit" w:val="weH8m/OcKZMn/TyTdZLaD6UrYh9dMUSI2tYB3tyPQ+k="/>
    <w:docVar w:name="Encrypted_AcadreDataUserId" w:val="thnmSnk4O8+zJjZlG7n0hA=="/>
    <w:docVar w:name="Encrypted_AcadreDataUserInitials" w:val="syU37o9M+8c0o/zV5s4nWA=="/>
    <w:docVar w:name="Encrypted_AcadreDataUserName" w:val="fffDX1eyrJ2w5Z+wLibKGg=="/>
    <w:docVar w:name="Encrypted_AcadreDocumentToMultipleRecipients" w:val="Go1BF8BBsJqqGsR1izlsvQ=="/>
    <w:docVar w:name="Encrypted_DialogFieldValue_caseno" w:val="bW9u9SOBKac5i8LoKV14+w=="/>
    <w:docVar w:name="Encrypted_DialogFieldValue_docheader" w:val="SzUUcXIZ2s6xwO0ysm+HbmjeyhbyUEaIvciLmpwTTxsl83o5unK2OfnNzjniWZal"/>
    <w:docVar w:name="Encrypted_DialogFieldValue_documentdate" w:val="fRZZ8cLznr9V72Uqv+J2Ng=="/>
    <w:docVar w:name="Encrypted_DialogFieldValue_documentid" w:val="gJO26cKJB2kn0P+9ICPOhoB3QNK6+ull5ICu9Kbt+/c="/>
    <w:docVar w:name="Encrypted_DialogFieldValue_senderdepartment" w:val="weH8m/OcKZMn/TyTdZLaD6UrYh9dMUSI2tYB3tyPQ+k="/>
    <w:docVar w:name="Encrypted_DialogFieldValue_senderinitials" w:val="syU37o9M+8c0o/zV5s4nWA=="/>
    <w:docVar w:name="Encrypted_DocCaseNo" w:val="bW9u9SOBKac5i8LoKV14+w=="/>
    <w:docVar w:name="Encrypted_DocHeader" w:val="SzUUcXIZ2s6xwO0ysm+HbmjeyhbyUEaIvciLmpwTTxsl83o5unK2OfnNzjniWZal"/>
    <w:docVar w:name="erudskrevet" w:val="true"/>
    <w:docVar w:name="IntegrationType" w:val="AcadreCM"/>
    <w:docVar w:name="SaveInTemplateCenterEnabled" w:val="False"/>
  </w:docVars>
  <w:rsids>
    <w:rsidRoot w:val="009C6E3D"/>
    <w:rsid w:val="00001221"/>
    <w:rsid w:val="00012DE0"/>
    <w:rsid w:val="000172F9"/>
    <w:rsid w:val="00022A1B"/>
    <w:rsid w:val="00023332"/>
    <w:rsid w:val="00030DDC"/>
    <w:rsid w:val="00035DB1"/>
    <w:rsid w:val="0003738C"/>
    <w:rsid w:val="000433F1"/>
    <w:rsid w:val="000459A7"/>
    <w:rsid w:val="0005272B"/>
    <w:rsid w:val="00052F34"/>
    <w:rsid w:val="00053D48"/>
    <w:rsid w:val="00054EA9"/>
    <w:rsid w:val="0006509E"/>
    <w:rsid w:val="000772DC"/>
    <w:rsid w:val="000800EB"/>
    <w:rsid w:val="00095363"/>
    <w:rsid w:val="0009598F"/>
    <w:rsid w:val="000A2AED"/>
    <w:rsid w:val="000A3136"/>
    <w:rsid w:val="000A3AEB"/>
    <w:rsid w:val="000A50C4"/>
    <w:rsid w:val="000B2459"/>
    <w:rsid w:val="000D5D48"/>
    <w:rsid w:val="000E4CCC"/>
    <w:rsid w:val="000E64FC"/>
    <w:rsid w:val="000E6513"/>
    <w:rsid w:val="000F3170"/>
    <w:rsid w:val="000F45FA"/>
    <w:rsid w:val="001024F6"/>
    <w:rsid w:val="001159EC"/>
    <w:rsid w:val="00140BA0"/>
    <w:rsid w:val="00141D63"/>
    <w:rsid w:val="00144A80"/>
    <w:rsid w:val="00151F3F"/>
    <w:rsid w:val="00156DFC"/>
    <w:rsid w:val="001605CE"/>
    <w:rsid w:val="0017076C"/>
    <w:rsid w:val="00172265"/>
    <w:rsid w:val="0017441B"/>
    <w:rsid w:val="00177D24"/>
    <w:rsid w:val="001879D4"/>
    <w:rsid w:val="00194C1C"/>
    <w:rsid w:val="001961B5"/>
    <w:rsid w:val="00197E74"/>
    <w:rsid w:val="001A695A"/>
    <w:rsid w:val="001C4AE2"/>
    <w:rsid w:val="001D485E"/>
    <w:rsid w:val="001D7275"/>
    <w:rsid w:val="001E1A9F"/>
    <w:rsid w:val="001E40F7"/>
    <w:rsid w:val="001F3F56"/>
    <w:rsid w:val="002008B6"/>
    <w:rsid w:val="00201EF6"/>
    <w:rsid w:val="002041DF"/>
    <w:rsid w:val="00213C9F"/>
    <w:rsid w:val="00220EC3"/>
    <w:rsid w:val="00221576"/>
    <w:rsid w:val="00237C52"/>
    <w:rsid w:val="00242D5A"/>
    <w:rsid w:val="0024670D"/>
    <w:rsid w:val="002517B9"/>
    <w:rsid w:val="00255FD7"/>
    <w:rsid w:val="0026491A"/>
    <w:rsid w:val="00265653"/>
    <w:rsid w:val="00292339"/>
    <w:rsid w:val="00295F32"/>
    <w:rsid w:val="00297977"/>
    <w:rsid w:val="002A2E1E"/>
    <w:rsid w:val="002B089C"/>
    <w:rsid w:val="002C38AC"/>
    <w:rsid w:val="002E0913"/>
    <w:rsid w:val="002F3FC1"/>
    <w:rsid w:val="00307BA6"/>
    <w:rsid w:val="00321B96"/>
    <w:rsid w:val="00322EF9"/>
    <w:rsid w:val="00325EFA"/>
    <w:rsid w:val="00330884"/>
    <w:rsid w:val="00350D2F"/>
    <w:rsid w:val="00353D2B"/>
    <w:rsid w:val="003573EB"/>
    <w:rsid w:val="00360EE5"/>
    <w:rsid w:val="003755A8"/>
    <w:rsid w:val="00377EBC"/>
    <w:rsid w:val="00377EFB"/>
    <w:rsid w:val="00380805"/>
    <w:rsid w:val="00382075"/>
    <w:rsid w:val="00382107"/>
    <w:rsid w:val="00387DF1"/>
    <w:rsid w:val="003A33BA"/>
    <w:rsid w:val="003B491B"/>
    <w:rsid w:val="003B4A8D"/>
    <w:rsid w:val="003B62EF"/>
    <w:rsid w:val="003C1111"/>
    <w:rsid w:val="003C25E7"/>
    <w:rsid w:val="003C3D0E"/>
    <w:rsid w:val="003D16D1"/>
    <w:rsid w:val="003D1B70"/>
    <w:rsid w:val="003D377D"/>
    <w:rsid w:val="003D4151"/>
    <w:rsid w:val="003D462F"/>
    <w:rsid w:val="003E3B7C"/>
    <w:rsid w:val="003E62A3"/>
    <w:rsid w:val="003E6D96"/>
    <w:rsid w:val="004077D7"/>
    <w:rsid w:val="00421431"/>
    <w:rsid w:val="004216C1"/>
    <w:rsid w:val="004230D3"/>
    <w:rsid w:val="004246E6"/>
    <w:rsid w:val="0043068A"/>
    <w:rsid w:val="00437A23"/>
    <w:rsid w:val="00446FDE"/>
    <w:rsid w:val="00447F41"/>
    <w:rsid w:val="00463AD0"/>
    <w:rsid w:val="00463FB1"/>
    <w:rsid w:val="004663CF"/>
    <w:rsid w:val="004672A2"/>
    <w:rsid w:val="00475577"/>
    <w:rsid w:val="004777B3"/>
    <w:rsid w:val="00493955"/>
    <w:rsid w:val="00493A0A"/>
    <w:rsid w:val="004A7404"/>
    <w:rsid w:val="004B17E6"/>
    <w:rsid w:val="004B4E58"/>
    <w:rsid w:val="004B6A08"/>
    <w:rsid w:val="004C0726"/>
    <w:rsid w:val="004C198E"/>
    <w:rsid w:val="004C39DE"/>
    <w:rsid w:val="004D6AEC"/>
    <w:rsid w:val="004D7522"/>
    <w:rsid w:val="004E208F"/>
    <w:rsid w:val="004E308B"/>
    <w:rsid w:val="004E372C"/>
    <w:rsid w:val="005003F2"/>
    <w:rsid w:val="005029E8"/>
    <w:rsid w:val="0050328B"/>
    <w:rsid w:val="00516E80"/>
    <w:rsid w:val="005175B8"/>
    <w:rsid w:val="00522A2F"/>
    <w:rsid w:val="00526086"/>
    <w:rsid w:val="0053245C"/>
    <w:rsid w:val="00534E8D"/>
    <w:rsid w:val="005354A4"/>
    <w:rsid w:val="00535826"/>
    <w:rsid w:val="00537618"/>
    <w:rsid w:val="00545A41"/>
    <w:rsid w:val="00545B2E"/>
    <w:rsid w:val="00555BCD"/>
    <w:rsid w:val="00567F16"/>
    <w:rsid w:val="00586B13"/>
    <w:rsid w:val="005A56BC"/>
    <w:rsid w:val="005A7DD7"/>
    <w:rsid w:val="005B43A1"/>
    <w:rsid w:val="005D54B6"/>
    <w:rsid w:val="005D68C0"/>
    <w:rsid w:val="005D7C29"/>
    <w:rsid w:val="005E3C1D"/>
    <w:rsid w:val="00600AFE"/>
    <w:rsid w:val="00605AF0"/>
    <w:rsid w:val="0060606B"/>
    <w:rsid w:val="00615BC6"/>
    <w:rsid w:val="00623BBC"/>
    <w:rsid w:val="00624CA9"/>
    <w:rsid w:val="0062515B"/>
    <w:rsid w:val="00630956"/>
    <w:rsid w:val="006336D2"/>
    <w:rsid w:val="0064028F"/>
    <w:rsid w:val="006402BE"/>
    <w:rsid w:val="00641A5C"/>
    <w:rsid w:val="00643BA9"/>
    <w:rsid w:val="00644F1D"/>
    <w:rsid w:val="00672AD5"/>
    <w:rsid w:val="00673709"/>
    <w:rsid w:val="00674F00"/>
    <w:rsid w:val="00676071"/>
    <w:rsid w:val="006778E6"/>
    <w:rsid w:val="006A7310"/>
    <w:rsid w:val="006B2019"/>
    <w:rsid w:val="006B7BE9"/>
    <w:rsid w:val="006C4929"/>
    <w:rsid w:val="006D08B3"/>
    <w:rsid w:val="006D12FD"/>
    <w:rsid w:val="006D2226"/>
    <w:rsid w:val="006E06FD"/>
    <w:rsid w:val="006E08C0"/>
    <w:rsid w:val="006E66A3"/>
    <w:rsid w:val="006F05C0"/>
    <w:rsid w:val="00706603"/>
    <w:rsid w:val="0070702D"/>
    <w:rsid w:val="0071702F"/>
    <w:rsid w:val="00724118"/>
    <w:rsid w:val="00724385"/>
    <w:rsid w:val="007258B5"/>
    <w:rsid w:val="0073005F"/>
    <w:rsid w:val="00734C68"/>
    <w:rsid w:val="007354A3"/>
    <w:rsid w:val="007427D0"/>
    <w:rsid w:val="00742BBE"/>
    <w:rsid w:val="007458EE"/>
    <w:rsid w:val="007660FC"/>
    <w:rsid w:val="007742CA"/>
    <w:rsid w:val="007912FF"/>
    <w:rsid w:val="007B5D2E"/>
    <w:rsid w:val="007D3520"/>
    <w:rsid w:val="007F0DAE"/>
    <w:rsid w:val="007F14E0"/>
    <w:rsid w:val="007F3653"/>
    <w:rsid w:val="00801645"/>
    <w:rsid w:val="00806BD1"/>
    <w:rsid w:val="008172A8"/>
    <w:rsid w:val="008179C7"/>
    <w:rsid w:val="00817FAF"/>
    <w:rsid w:val="00820B9D"/>
    <w:rsid w:val="00824418"/>
    <w:rsid w:val="00827358"/>
    <w:rsid w:val="00827A3A"/>
    <w:rsid w:val="00830C9C"/>
    <w:rsid w:val="00842B63"/>
    <w:rsid w:val="008449D8"/>
    <w:rsid w:val="0085584F"/>
    <w:rsid w:val="00863ED3"/>
    <w:rsid w:val="00866A62"/>
    <w:rsid w:val="00866CEE"/>
    <w:rsid w:val="00874023"/>
    <w:rsid w:val="008746CB"/>
    <w:rsid w:val="00875399"/>
    <w:rsid w:val="008758FB"/>
    <w:rsid w:val="00875C1E"/>
    <w:rsid w:val="00884F5D"/>
    <w:rsid w:val="00887242"/>
    <w:rsid w:val="0089227B"/>
    <w:rsid w:val="008A3E79"/>
    <w:rsid w:val="008B5577"/>
    <w:rsid w:val="008B7843"/>
    <w:rsid w:val="008C2F22"/>
    <w:rsid w:val="008C3007"/>
    <w:rsid w:val="008D38F9"/>
    <w:rsid w:val="008D7E89"/>
    <w:rsid w:val="008E6B4D"/>
    <w:rsid w:val="00901F73"/>
    <w:rsid w:val="00910AD7"/>
    <w:rsid w:val="00920B85"/>
    <w:rsid w:val="00927269"/>
    <w:rsid w:val="0093151F"/>
    <w:rsid w:val="00935693"/>
    <w:rsid w:val="009379F6"/>
    <w:rsid w:val="009522AF"/>
    <w:rsid w:val="00953F96"/>
    <w:rsid w:val="00954157"/>
    <w:rsid w:val="009701D3"/>
    <w:rsid w:val="009724BA"/>
    <w:rsid w:val="009761F7"/>
    <w:rsid w:val="00976706"/>
    <w:rsid w:val="009803DA"/>
    <w:rsid w:val="00984069"/>
    <w:rsid w:val="009A03B9"/>
    <w:rsid w:val="009A047D"/>
    <w:rsid w:val="009A332B"/>
    <w:rsid w:val="009B7590"/>
    <w:rsid w:val="009C11CF"/>
    <w:rsid w:val="009C6BCD"/>
    <w:rsid w:val="009C6E3D"/>
    <w:rsid w:val="009D4626"/>
    <w:rsid w:val="009E3EB1"/>
    <w:rsid w:val="009E3EFF"/>
    <w:rsid w:val="009F27E7"/>
    <w:rsid w:val="009F2F1C"/>
    <w:rsid w:val="00A00EF5"/>
    <w:rsid w:val="00A01573"/>
    <w:rsid w:val="00A07B45"/>
    <w:rsid w:val="00A10248"/>
    <w:rsid w:val="00A1263C"/>
    <w:rsid w:val="00A13B08"/>
    <w:rsid w:val="00A1431C"/>
    <w:rsid w:val="00A36F67"/>
    <w:rsid w:val="00A435FE"/>
    <w:rsid w:val="00A46DC4"/>
    <w:rsid w:val="00A613FE"/>
    <w:rsid w:val="00A61702"/>
    <w:rsid w:val="00A622C3"/>
    <w:rsid w:val="00A65B51"/>
    <w:rsid w:val="00A66F77"/>
    <w:rsid w:val="00A84D56"/>
    <w:rsid w:val="00A92253"/>
    <w:rsid w:val="00A93C1B"/>
    <w:rsid w:val="00AA3DE1"/>
    <w:rsid w:val="00AA56FA"/>
    <w:rsid w:val="00AA60EE"/>
    <w:rsid w:val="00AB6BA9"/>
    <w:rsid w:val="00AB72C8"/>
    <w:rsid w:val="00AC1DE7"/>
    <w:rsid w:val="00AD103D"/>
    <w:rsid w:val="00AD37A9"/>
    <w:rsid w:val="00AD57FD"/>
    <w:rsid w:val="00AE2BBF"/>
    <w:rsid w:val="00AE37A8"/>
    <w:rsid w:val="00B06088"/>
    <w:rsid w:val="00B103C0"/>
    <w:rsid w:val="00B14A66"/>
    <w:rsid w:val="00B25FB4"/>
    <w:rsid w:val="00B27388"/>
    <w:rsid w:val="00B33F07"/>
    <w:rsid w:val="00B44879"/>
    <w:rsid w:val="00B44B74"/>
    <w:rsid w:val="00B46AB4"/>
    <w:rsid w:val="00B524F9"/>
    <w:rsid w:val="00B63D2B"/>
    <w:rsid w:val="00B81051"/>
    <w:rsid w:val="00B82C54"/>
    <w:rsid w:val="00B92B84"/>
    <w:rsid w:val="00B9546B"/>
    <w:rsid w:val="00B977D3"/>
    <w:rsid w:val="00BB332D"/>
    <w:rsid w:val="00BC5779"/>
    <w:rsid w:val="00BE287A"/>
    <w:rsid w:val="00BE410C"/>
    <w:rsid w:val="00BF5E9B"/>
    <w:rsid w:val="00C111D3"/>
    <w:rsid w:val="00C1208E"/>
    <w:rsid w:val="00C244ED"/>
    <w:rsid w:val="00C24D2A"/>
    <w:rsid w:val="00C274B8"/>
    <w:rsid w:val="00C31BE6"/>
    <w:rsid w:val="00C33984"/>
    <w:rsid w:val="00C44EA5"/>
    <w:rsid w:val="00C5309E"/>
    <w:rsid w:val="00C67D99"/>
    <w:rsid w:val="00C70F53"/>
    <w:rsid w:val="00C74D31"/>
    <w:rsid w:val="00C76F49"/>
    <w:rsid w:val="00C8138F"/>
    <w:rsid w:val="00C926B8"/>
    <w:rsid w:val="00C95DFC"/>
    <w:rsid w:val="00CA4EB7"/>
    <w:rsid w:val="00CA7AB3"/>
    <w:rsid w:val="00CC013E"/>
    <w:rsid w:val="00CC3DA3"/>
    <w:rsid w:val="00CC6B89"/>
    <w:rsid w:val="00CD2C26"/>
    <w:rsid w:val="00CD71E6"/>
    <w:rsid w:val="00CF6203"/>
    <w:rsid w:val="00CF6ADE"/>
    <w:rsid w:val="00D00D5F"/>
    <w:rsid w:val="00D016DD"/>
    <w:rsid w:val="00D04B32"/>
    <w:rsid w:val="00D05652"/>
    <w:rsid w:val="00D0764C"/>
    <w:rsid w:val="00D12F7F"/>
    <w:rsid w:val="00D15705"/>
    <w:rsid w:val="00D318B5"/>
    <w:rsid w:val="00D31E51"/>
    <w:rsid w:val="00D33F15"/>
    <w:rsid w:val="00D4579A"/>
    <w:rsid w:val="00D4646E"/>
    <w:rsid w:val="00D55454"/>
    <w:rsid w:val="00D81B61"/>
    <w:rsid w:val="00D86FD5"/>
    <w:rsid w:val="00D94D55"/>
    <w:rsid w:val="00D96947"/>
    <w:rsid w:val="00DA5D91"/>
    <w:rsid w:val="00DA64BF"/>
    <w:rsid w:val="00DC3896"/>
    <w:rsid w:val="00DC5338"/>
    <w:rsid w:val="00DC781C"/>
    <w:rsid w:val="00DE4B35"/>
    <w:rsid w:val="00DE6811"/>
    <w:rsid w:val="00DF1075"/>
    <w:rsid w:val="00E1128F"/>
    <w:rsid w:val="00E16014"/>
    <w:rsid w:val="00E16802"/>
    <w:rsid w:val="00E20F2F"/>
    <w:rsid w:val="00E23B77"/>
    <w:rsid w:val="00E27F93"/>
    <w:rsid w:val="00E33BB2"/>
    <w:rsid w:val="00E37954"/>
    <w:rsid w:val="00E46F32"/>
    <w:rsid w:val="00E539F7"/>
    <w:rsid w:val="00E542A4"/>
    <w:rsid w:val="00E6189C"/>
    <w:rsid w:val="00E72F67"/>
    <w:rsid w:val="00E7667B"/>
    <w:rsid w:val="00E846C5"/>
    <w:rsid w:val="00E84A7A"/>
    <w:rsid w:val="00E918E9"/>
    <w:rsid w:val="00EB3D9C"/>
    <w:rsid w:val="00EB78C6"/>
    <w:rsid w:val="00EC1F08"/>
    <w:rsid w:val="00EC4593"/>
    <w:rsid w:val="00ED0C5A"/>
    <w:rsid w:val="00ED40B9"/>
    <w:rsid w:val="00EE4EEA"/>
    <w:rsid w:val="00EF07D5"/>
    <w:rsid w:val="00F00963"/>
    <w:rsid w:val="00F009C7"/>
    <w:rsid w:val="00F10837"/>
    <w:rsid w:val="00F12127"/>
    <w:rsid w:val="00F21144"/>
    <w:rsid w:val="00F31634"/>
    <w:rsid w:val="00F35245"/>
    <w:rsid w:val="00F42CAE"/>
    <w:rsid w:val="00F50296"/>
    <w:rsid w:val="00F5114B"/>
    <w:rsid w:val="00F5191F"/>
    <w:rsid w:val="00F542B4"/>
    <w:rsid w:val="00F66D9A"/>
    <w:rsid w:val="00F71EC3"/>
    <w:rsid w:val="00F75CD0"/>
    <w:rsid w:val="00F81786"/>
    <w:rsid w:val="00FA2965"/>
    <w:rsid w:val="00FA59D6"/>
    <w:rsid w:val="00FB4524"/>
    <w:rsid w:val="00FB45DC"/>
    <w:rsid w:val="00FB58DD"/>
    <w:rsid w:val="00FD46C5"/>
    <w:rsid w:val="00FD7D1D"/>
    <w:rsid w:val="00FE3B36"/>
    <w:rsid w:val="00FE3B9B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82B67B8"/>
  <w15:docId w15:val="{83A38B8A-DB2C-44ED-AB73-15049AB0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64C"/>
    <w:pPr>
      <w:spacing w:line="240" w:lineRule="atLeast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830C9C"/>
    <w:pPr>
      <w:spacing w:line="240" w:lineRule="exact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2515B"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rsid w:val="0062515B"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62515B"/>
    <w:pPr>
      <w:ind w:left="1304"/>
    </w:pPr>
  </w:style>
  <w:style w:type="paragraph" w:styleId="Indholdsfortegnelse2">
    <w:name w:val="toc 2"/>
    <w:basedOn w:val="Normal"/>
    <w:next w:val="Normal"/>
    <w:semiHidden/>
    <w:rsid w:val="0062515B"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rsid w:val="0062515B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2515B"/>
    <w:pPr>
      <w:tabs>
        <w:tab w:val="right" w:pos="8931"/>
      </w:tabs>
      <w:spacing w:after="1418"/>
    </w:pPr>
  </w:style>
  <w:style w:type="paragraph" w:customStyle="1" w:styleId="Liste1">
    <w:name w:val="Liste1"/>
    <w:basedOn w:val="Normal"/>
    <w:rsid w:val="0062515B"/>
    <w:pPr>
      <w:spacing w:before="120"/>
      <w:ind w:left="709" w:hanging="709"/>
    </w:pPr>
  </w:style>
  <w:style w:type="paragraph" w:customStyle="1" w:styleId="Brevtop">
    <w:name w:val="Brevtop"/>
    <w:basedOn w:val="Normal"/>
    <w:rsid w:val="0062515B"/>
    <w:pPr>
      <w:jc w:val="center"/>
    </w:pPr>
    <w:rPr>
      <w:b/>
      <w:sz w:val="20"/>
    </w:rPr>
  </w:style>
  <w:style w:type="paragraph" w:styleId="Dato">
    <w:name w:val="Date"/>
    <w:basedOn w:val="Normal"/>
    <w:next w:val="Dato1"/>
    <w:rsid w:val="0062515B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rsid w:val="0062515B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rsid w:val="0062515B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  <w:rsid w:val="0062515B"/>
  </w:style>
  <w:style w:type="paragraph" w:customStyle="1" w:styleId="Hilsen">
    <w:name w:val="Hilsen"/>
    <w:basedOn w:val="Normal"/>
    <w:rsid w:val="0062515B"/>
    <w:pPr>
      <w:keepNext/>
      <w:keepLines/>
      <w:spacing w:before="960" w:after="720"/>
    </w:pPr>
  </w:style>
  <w:style w:type="paragraph" w:customStyle="1" w:styleId="Dato2">
    <w:name w:val="Dato2"/>
    <w:basedOn w:val="Dato1"/>
    <w:rsid w:val="0062515B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  <w:rsid w:val="0062515B"/>
  </w:style>
  <w:style w:type="paragraph" w:customStyle="1" w:styleId="TypografiOverskrift1Fr12pkt">
    <w:name w:val="Typografi Overskrift 1 + Før:  12 pkt."/>
    <w:basedOn w:val="Overskrift1"/>
    <w:rsid w:val="00830C9C"/>
    <w:rPr>
      <w:bCs/>
    </w:rPr>
  </w:style>
  <w:style w:type="table" w:styleId="Tabel-Gitter">
    <w:name w:val="Table Grid"/>
    <w:basedOn w:val="Tabel-Normal"/>
    <w:rsid w:val="00C7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001221"/>
    <w:rPr>
      <w:rFonts w:ascii="Tahoma" w:hAnsi="Tahoma" w:cs="Tahoma"/>
      <w:sz w:val="16"/>
      <w:szCs w:val="16"/>
    </w:rPr>
  </w:style>
  <w:style w:type="paragraph" w:customStyle="1" w:styleId="SidehovedEnhed">
    <w:name w:val="SidehovedEnhed"/>
    <w:basedOn w:val="Normal"/>
    <w:rsid w:val="00953F96"/>
    <w:pPr>
      <w:spacing w:line="200" w:lineRule="exact"/>
    </w:pPr>
    <w:rPr>
      <w:sz w:val="16"/>
    </w:rPr>
  </w:style>
  <w:style w:type="paragraph" w:customStyle="1" w:styleId="SidehovedDato">
    <w:name w:val="SidehovedDato"/>
    <w:basedOn w:val="Normal"/>
    <w:rsid w:val="00953F96"/>
    <w:pPr>
      <w:spacing w:line="200" w:lineRule="exact"/>
      <w:jc w:val="right"/>
    </w:pPr>
    <w:rPr>
      <w:sz w:val="16"/>
    </w:rPr>
  </w:style>
  <w:style w:type="paragraph" w:customStyle="1" w:styleId="SidehovedNotat">
    <w:name w:val="SidehovedNotat"/>
    <w:basedOn w:val="Sidehoved"/>
    <w:rsid w:val="00953F96"/>
    <w:pPr>
      <w:spacing w:after="0"/>
      <w:jc w:val="right"/>
    </w:pPr>
    <w:rPr>
      <w:b/>
      <w:bCs/>
      <w:color w:val="999999"/>
      <w:sz w:val="28"/>
    </w:rPr>
  </w:style>
  <w:style w:type="paragraph" w:customStyle="1" w:styleId="SidefodTekst">
    <w:name w:val="SidefodTekst"/>
    <w:basedOn w:val="Sidefod"/>
    <w:rsid w:val="00953F96"/>
    <w:pP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A01573"/>
    <w:pPr>
      <w:spacing w:line="240" w:lineRule="auto"/>
      <w:ind w:left="720"/>
      <w:contextualSpacing/>
    </w:pPr>
    <w:rPr>
      <w:szCs w:val="24"/>
    </w:rPr>
  </w:style>
  <w:style w:type="table" w:styleId="Gittertabel4-farve3">
    <w:name w:val="Grid Table 4 Accent 3"/>
    <w:basedOn w:val="Tabel-Normal"/>
    <w:uiPriority w:val="49"/>
    <w:rsid w:val="00FB58D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Tabel-figur">
    <w:name w:val="Tabel-figur"/>
    <w:basedOn w:val="Normal"/>
    <w:next w:val="Normal"/>
    <w:link w:val="Tabel-figurTegn"/>
    <w:qFormat/>
    <w:rsid w:val="00446FDE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b/>
    </w:rPr>
  </w:style>
  <w:style w:type="character" w:customStyle="1" w:styleId="Tabel-figurTegn">
    <w:name w:val="Tabel-figur Tegn"/>
    <w:basedOn w:val="Standardskrifttypeiafsnit"/>
    <w:link w:val="Tabel-figur"/>
    <w:rsid w:val="00446FDE"/>
    <w:rPr>
      <w:rFonts w:ascii="Verdana" w:hAnsi="Verdana"/>
      <w:b/>
      <w:sz w:val="19"/>
    </w:rPr>
  </w:style>
  <w:style w:type="character" w:styleId="Hyperlink">
    <w:name w:val="Hyperlink"/>
    <w:basedOn w:val="Standardskrifttypeiafsnit"/>
    <w:unhideWhenUsed/>
    <w:rsid w:val="000E4CC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E4CC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0E4CCC"/>
    <w:rPr>
      <w:color w:val="800080" w:themeColor="followedHyperlink"/>
      <w:u w:val="single"/>
    </w:rPr>
  </w:style>
  <w:style w:type="table" w:styleId="Listetabel4-farve3">
    <w:name w:val="List Table 4 Accent 3"/>
    <w:basedOn w:val="Tabel-Normal"/>
    <w:uiPriority w:val="49"/>
    <w:rsid w:val="00AE2BB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hyperlink" Target="http://www.htk.dk/overgre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tk.dk/mistrivsel" TargetMode="External"/><Relationship Id="rId14" Type="http://schemas.openxmlformats.org/officeDocument/2006/relationships/chart" Target="charts/chart4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htknt.dk\htk_data\afd\Access\B&#248;rne-%20og%20unger&#229;dgivningscenter\BURC\LIS%20Familieafdelingen\POWERPIVOT\LIS-POWERPIVOT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Mappe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htknt.dk\htk_data\afd\Access\B&#248;rne-%20og%20unger&#229;dgivningscenter\BURC\LIS%20Familieafdelingen\POWERPIVOT\LIS-POWERPIVOT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htknt.dk\htk_data\afd\Access\B&#248;rne-%20og%20unger&#229;dgivningscenter\BURC\LIS%20Familieafdelingen\POWERPIVOT\LIS-POWERPIVOT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htknt.dk\htk_data\afd\Access\B&#248;rne-%20og%20unger&#229;dgivningscenter\BURC\LIS%20Familieafdelingen\2022\12December\Underretninger153-1-4%20december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htknt.dk\htk_data\afd\Access\B&#248;rne-%20og%20unger&#229;dgivningscenter\BURC\LIS%20Familieafdelingen\2022\12December\Underretninger153-1-4%20december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omassoe\AppData\Local\Microsoft\Windows\INetCache\Content.Outlook\U8NN0YSX\Mappe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\\htknt.dk\htk_data\afd\Access\B&#248;rne-%20og%20unger&#229;dgivningscenter\BURC\LIS%20Familieafdelingen\POWERPIVOT\LIS-POWERPIVO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'Antal underretninger 2014-2021'!$B$1</c:f>
              <c:strCache>
                <c:ptCount val="1"/>
                <c:pt idx="0">
                  <c:v>Antal underretninger</c:v>
                </c:pt>
              </c:strCache>
            </c:strRef>
          </c:tx>
          <c:spPr>
            <a:solidFill>
              <a:srgbClr val="4F81BD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BB9-42A1-A1C6-9DF811A382B0}"/>
              </c:ext>
            </c:extLst>
          </c:dPt>
          <c:dLbls>
            <c:dLbl>
              <c:idx val="6"/>
              <c:layout>
                <c:manualLayout>
                  <c:x val="-1.7152658662092701E-2"/>
                  <c:y val="-1.11919418019026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BB9-42A1-A1C6-9DF811A382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FF0000"/>
                </a:solidFill>
              </a:ln>
              <a:effectLst/>
            </c:spPr>
            <c:trendlineType val="linear"/>
            <c:dispRSqr val="0"/>
            <c:dispEq val="0"/>
          </c:trendline>
          <c:cat>
            <c:strRef>
              <c:f>'Antal underretninger 2014-2021'!$A$2:$A$10</c:f>
              <c:strCach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strCache>
            </c:strRef>
          </c:cat>
          <c:val>
            <c:numRef>
              <c:f>'Antal underretninger 2014-2021'!$B$2:$B$10</c:f>
              <c:numCache>
                <c:formatCode>_-* #,##0_-;\-* #,##0_-;_-* "-"??_-;_-@_-</c:formatCode>
                <c:ptCount val="9"/>
                <c:pt idx="0">
                  <c:v>770</c:v>
                </c:pt>
                <c:pt idx="1">
                  <c:v>782</c:v>
                </c:pt>
                <c:pt idx="2">
                  <c:v>926</c:v>
                </c:pt>
                <c:pt idx="3">
                  <c:v>1127</c:v>
                </c:pt>
                <c:pt idx="4">
                  <c:v>1382</c:v>
                </c:pt>
                <c:pt idx="5">
                  <c:v>1595</c:v>
                </c:pt>
                <c:pt idx="6">
                  <c:v>1682</c:v>
                </c:pt>
                <c:pt idx="7">
                  <c:v>2027</c:v>
                </c:pt>
                <c:pt idx="8">
                  <c:v>2321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B9-42A1-A1C6-9DF811A382B0}"/>
            </c:ext>
          </c:extLst>
        </c:ser>
        <c:ser>
          <c:idx val="1"/>
          <c:order val="1"/>
          <c:tx>
            <c:strRef>
              <c:f>'Antal underretninger 2014-2021'!$C$1</c:f>
              <c:strCache>
                <c:ptCount val="1"/>
                <c:pt idx="0">
                  <c:v>Underretning fordelt på unikke børn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BB9-42A1-A1C6-9DF811A382B0}"/>
              </c:ext>
            </c:extLst>
          </c:dPt>
          <c:dLbls>
            <c:dLbl>
              <c:idx val="5"/>
              <c:layout>
                <c:manualLayout>
                  <c:x val="6.4322469982846554E-3"/>
                  <c:y val="-3.73064726730087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BB9-42A1-A1C6-9DF811A382B0}"/>
                </c:ext>
              </c:extLst>
            </c:dLbl>
            <c:dLbl>
              <c:idx val="6"/>
              <c:layout>
                <c:manualLayout>
                  <c:x val="1.072041166380789E-2"/>
                  <c:y val="-1.11919418019026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BB9-42A1-A1C6-9DF811A382B0}"/>
                </c:ext>
              </c:extLst>
            </c:dLbl>
            <c:dLbl>
              <c:idx val="7"/>
              <c:layout>
                <c:manualLayout>
                  <c:x val="1.07204116638078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BB9-42A1-A1C6-9DF811A382B0}"/>
                </c:ext>
              </c:extLst>
            </c:dLbl>
            <c:dLbl>
              <c:idx val="8"/>
              <c:layout>
                <c:manualLayout>
                  <c:x val="1.286449399656946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B9-42A1-A1C6-9DF811A382B0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cat>
            <c:strRef>
              <c:f>'Antal underretninger 2014-2021'!$A$2:$A$10</c:f>
              <c:strCach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strCache>
            </c:strRef>
          </c:cat>
          <c:val>
            <c:numRef>
              <c:f>'Antal underretninger 2014-2021'!$C$2:$C$10</c:f>
              <c:numCache>
                <c:formatCode>General</c:formatCode>
                <c:ptCount val="9"/>
                <c:pt idx="0">
                  <c:v>569</c:v>
                </c:pt>
                <c:pt idx="1">
                  <c:v>568</c:v>
                </c:pt>
                <c:pt idx="2">
                  <c:v>660</c:v>
                </c:pt>
                <c:pt idx="3">
                  <c:v>756</c:v>
                </c:pt>
                <c:pt idx="4">
                  <c:v>899</c:v>
                </c:pt>
                <c:pt idx="5">
                  <c:v>1009</c:v>
                </c:pt>
                <c:pt idx="6">
                  <c:v>1004</c:v>
                </c:pt>
                <c:pt idx="7">
                  <c:v>1143</c:v>
                </c:pt>
                <c:pt idx="8" formatCode="0">
                  <c:v>1256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B9-42A1-A1C6-9DF811A382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315654864"/>
        <c:axId val="1315654208"/>
      </c:barChart>
      <c:catAx>
        <c:axId val="131565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315654208"/>
        <c:crosses val="autoZero"/>
        <c:auto val="1"/>
        <c:lblAlgn val="ctr"/>
        <c:lblOffset val="100"/>
        <c:noMultiLvlLbl val="0"/>
      </c:catAx>
      <c:valAx>
        <c:axId val="131565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31565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'Ark1'!$A$2</c:f>
              <c:strCache>
                <c:ptCount val="1"/>
                <c:pt idx="0">
                  <c:v>Underretning fordelt på unikke børn</c:v>
                </c:pt>
              </c:strCache>
            </c:strRef>
          </c:tx>
          <c:spPr>
            <a:solidFill>
              <a:srgbClr val="95B3D7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'Ark1'!$B$1:$E$1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'Ark1'!$B$2:$E$2</c:f>
              <c:numCache>
                <c:formatCode>General</c:formatCode>
                <c:ptCount val="4"/>
                <c:pt idx="0">
                  <c:v>1009</c:v>
                </c:pt>
                <c:pt idx="1">
                  <c:v>1004</c:v>
                </c:pt>
                <c:pt idx="2">
                  <c:v>1143</c:v>
                </c:pt>
                <c:pt idx="3">
                  <c:v>1256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38-47B2-B671-29FFECE62E06}"/>
            </c:ext>
          </c:extLst>
        </c:ser>
        <c:ser>
          <c:idx val="1"/>
          <c:order val="1"/>
          <c:tx>
            <c:strRef>
              <c:f>'Ark1'!$A$3</c:f>
              <c:strCache>
                <c:ptCount val="1"/>
                <c:pt idx="0">
                  <c:v>Antal underretninger som genererer en helt ny sag</c:v>
                </c:pt>
              </c:strCache>
            </c:strRef>
          </c:tx>
          <c:spPr>
            <a:solidFill>
              <a:srgbClr val="6168AB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'Ark1'!$B$1:$E$1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'Ark1'!$B$3:$E$3</c:f>
              <c:numCache>
                <c:formatCode>General</c:formatCode>
                <c:ptCount val="4"/>
                <c:pt idx="0">
                  <c:v>407</c:v>
                </c:pt>
                <c:pt idx="1">
                  <c:v>410</c:v>
                </c:pt>
                <c:pt idx="2">
                  <c:v>443</c:v>
                </c:pt>
                <c:pt idx="3">
                  <c:v>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38-47B2-B671-29FFECE62E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79588920"/>
        <c:axId val="879589576"/>
      </c:barChart>
      <c:lineChart>
        <c:grouping val="standard"/>
        <c:varyColors val="0"/>
        <c:ser>
          <c:idx val="2"/>
          <c:order val="2"/>
          <c:tx>
            <c:strRef>
              <c:f>'Ark1'!$A$4</c:f>
              <c:strCache>
                <c:ptCount val="1"/>
                <c:pt idx="0">
                  <c:v>Andel underretninger som genererer en helt ny sag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'Ark1'!$B$1:$E$1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'Ark1'!$B$4:$E$4</c:f>
              <c:numCache>
                <c:formatCode>0%</c:formatCode>
                <c:ptCount val="4"/>
                <c:pt idx="0">
                  <c:v>0.40336967294350845</c:v>
                </c:pt>
                <c:pt idx="1">
                  <c:v>0.40836653386454186</c:v>
                </c:pt>
                <c:pt idx="2">
                  <c:v>0.38757655293088367</c:v>
                </c:pt>
                <c:pt idx="3">
                  <c:v>0.375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38-47B2-B671-29FFECE62E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79590232"/>
        <c:axId val="879593840"/>
      </c:lineChart>
      <c:catAx>
        <c:axId val="879588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879589576"/>
        <c:crosses val="autoZero"/>
        <c:auto val="1"/>
        <c:lblAlgn val="ctr"/>
        <c:lblOffset val="100"/>
        <c:noMultiLvlLbl val="0"/>
      </c:catAx>
      <c:valAx>
        <c:axId val="879589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879588920"/>
        <c:crosses val="autoZero"/>
        <c:crossBetween val="between"/>
      </c:valAx>
      <c:valAx>
        <c:axId val="879593840"/>
        <c:scaling>
          <c:orientation val="minMax"/>
          <c:min val="0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879590232"/>
        <c:crosses val="max"/>
        <c:crossBetween val="between"/>
      </c:valAx>
      <c:catAx>
        <c:axId val="8795902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795938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  <a:ln>
                <a:solidFill>
                  <a:sysClr val="window" lastClr="FFFFFF">
                    <a:lumMod val="65000"/>
                  </a:sys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958-47FB-A447-A8670CEDF093}"/>
              </c:ext>
            </c:extLst>
          </c:dPt>
          <c:dPt>
            <c:idx val="1"/>
            <c:invertIfNegative val="0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  <a:ln>
                <a:solidFill>
                  <a:sysClr val="window" lastClr="FFFFFF">
                    <a:lumMod val="65000"/>
                  </a:sys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58-47FB-A447-A8670CEDF093}"/>
              </c:ext>
            </c:extLst>
          </c:dPt>
          <c:dPt>
            <c:idx val="2"/>
            <c:invertIfNegative val="0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  <a:ln>
                <a:solidFill>
                  <a:sysClr val="window" lastClr="FFFFFF">
                    <a:lumMod val="65000"/>
                  </a:sys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C958-47FB-A447-A8670CEDF093}"/>
              </c:ext>
            </c:extLst>
          </c:dPt>
          <c:dPt>
            <c:idx val="12"/>
            <c:invertIfNegative val="0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  <a:ln>
                <a:solidFill>
                  <a:sysClr val="window" lastClr="FFFFFF">
                    <a:lumMod val="65000"/>
                  </a:sys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58-47FB-A447-A8670CEDF0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cat>
            <c:numRef>
              <c:f>'Antal underretninger 2014-2021'!$A$25:$A$49</c:f>
              <c:numCache>
                <c:formatCode>mmm\-yy</c:formatCode>
                <c:ptCount val="25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  <c:pt idx="13">
                  <c:v>44562</c:v>
                </c:pt>
                <c:pt idx="14">
                  <c:v>44593</c:v>
                </c:pt>
                <c:pt idx="15">
                  <c:v>44621</c:v>
                </c:pt>
                <c:pt idx="16">
                  <c:v>44652</c:v>
                </c:pt>
                <c:pt idx="17">
                  <c:v>44682</c:v>
                </c:pt>
                <c:pt idx="18">
                  <c:v>44713</c:v>
                </c:pt>
                <c:pt idx="19">
                  <c:v>44743</c:v>
                </c:pt>
                <c:pt idx="20">
                  <c:v>44774</c:v>
                </c:pt>
                <c:pt idx="21">
                  <c:v>44805</c:v>
                </c:pt>
                <c:pt idx="22">
                  <c:v>44835</c:v>
                </c:pt>
                <c:pt idx="23">
                  <c:v>44866</c:v>
                </c:pt>
                <c:pt idx="24">
                  <c:v>44896</c:v>
                </c:pt>
              </c:numCache>
            </c:numRef>
          </c:cat>
          <c:val>
            <c:numRef>
              <c:f>'Antal underretninger 2014-2021'!$B$25:$B$49</c:f>
              <c:numCache>
                <c:formatCode>General</c:formatCode>
                <c:ptCount val="25"/>
                <c:pt idx="0">
                  <c:v>117</c:v>
                </c:pt>
                <c:pt idx="1">
                  <c:v>158</c:v>
                </c:pt>
                <c:pt idx="2">
                  <c:v>141</c:v>
                </c:pt>
                <c:pt idx="3">
                  <c:v>166</c:v>
                </c:pt>
                <c:pt idx="4">
                  <c:v>135</c:v>
                </c:pt>
                <c:pt idx="5">
                  <c:v>172</c:v>
                </c:pt>
                <c:pt idx="6">
                  <c:v>191</c:v>
                </c:pt>
                <c:pt idx="7">
                  <c:v>135</c:v>
                </c:pt>
                <c:pt idx="8">
                  <c:v>133</c:v>
                </c:pt>
                <c:pt idx="9">
                  <c:v>220</c:v>
                </c:pt>
                <c:pt idx="10">
                  <c:v>206</c:v>
                </c:pt>
                <c:pt idx="11">
                  <c:v>204</c:v>
                </c:pt>
                <c:pt idx="12">
                  <c:v>166</c:v>
                </c:pt>
                <c:pt idx="13">
                  <c:v>190</c:v>
                </c:pt>
                <c:pt idx="14">
                  <c:v>174</c:v>
                </c:pt>
                <c:pt idx="15">
                  <c:v>185</c:v>
                </c:pt>
                <c:pt idx="16">
                  <c:v>154</c:v>
                </c:pt>
                <c:pt idx="17">
                  <c:v>203</c:v>
                </c:pt>
                <c:pt idx="18">
                  <c:v>194</c:v>
                </c:pt>
                <c:pt idx="19">
                  <c:v>139</c:v>
                </c:pt>
                <c:pt idx="20">
                  <c:v>182</c:v>
                </c:pt>
                <c:pt idx="21">
                  <c:v>270</c:v>
                </c:pt>
                <c:pt idx="22">
                  <c:v>228</c:v>
                </c:pt>
                <c:pt idx="23">
                  <c:v>201</c:v>
                </c:pt>
                <c:pt idx="24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58-47FB-A447-A8670CEDF0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27"/>
        <c:axId val="822811912"/>
        <c:axId val="823770192"/>
      </c:barChart>
      <c:dateAx>
        <c:axId val="82281191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823770192"/>
        <c:crosses val="autoZero"/>
        <c:auto val="1"/>
        <c:lblOffset val="100"/>
        <c:baseTimeUnit val="months"/>
      </c:dateAx>
      <c:valAx>
        <c:axId val="82377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822811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Underretninger!$E$59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4.6981442330279542E-3"/>
                  <c:y val="-4.634257216266124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A1-4493-A640-7698225D0ED0}"/>
                </c:ext>
              </c:extLst>
            </c:dLbl>
            <c:dLbl>
              <c:idx val="1"/>
              <c:layout>
                <c:manualLayout>
                  <c:x val="-2.34907211651402E-3"/>
                  <c:y val="-4.634257216266124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A1-4493-A640-7698225D0ED0}"/>
                </c:ext>
              </c:extLst>
            </c:dLbl>
            <c:dLbl>
              <c:idx val="4"/>
              <c:layout>
                <c:manualLayout>
                  <c:x val="-7.0472163495420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A1-4493-A640-7698225D0ED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Underretninger!$D$60:$D$65</c:f>
              <c:strCache>
                <c:ptCount val="6"/>
                <c:pt idx="0">
                  <c:v>0-2 ÅR</c:v>
                </c:pt>
                <c:pt idx="1">
                  <c:v>3-5 ÅR</c:v>
                </c:pt>
                <c:pt idx="2">
                  <c:v>6-8 ÅR</c:v>
                </c:pt>
                <c:pt idx="3">
                  <c:v>9-11 ÅR</c:v>
                </c:pt>
                <c:pt idx="4">
                  <c:v>12-14 ÅR</c:v>
                </c:pt>
                <c:pt idx="5">
                  <c:v>15-17 ÅR</c:v>
                </c:pt>
              </c:strCache>
            </c:strRef>
          </c:cat>
          <c:val>
            <c:numRef>
              <c:f>Underretninger!$E$60:$E$65</c:f>
              <c:numCache>
                <c:formatCode>0.00%</c:formatCode>
                <c:ptCount val="6"/>
                <c:pt idx="0">
                  <c:v>0.12230000000000001</c:v>
                </c:pt>
                <c:pt idx="1">
                  <c:v>0.13800000000000001</c:v>
                </c:pt>
                <c:pt idx="2">
                  <c:v>0.13489999999999999</c:v>
                </c:pt>
                <c:pt idx="3">
                  <c:v>0.1537</c:v>
                </c:pt>
                <c:pt idx="4">
                  <c:v>0.22459999999999999</c:v>
                </c:pt>
                <c:pt idx="5">
                  <c:v>0.22650000000000001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A1-4493-A640-7698225D0ED0}"/>
            </c:ext>
          </c:extLst>
        </c:ser>
        <c:ser>
          <c:idx val="1"/>
          <c:order val="1"/>
          <c:tx>
            <c:strRef>
              <c:f>Underretninger!$F$59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ysClr val="window" lastClr="FFFFFF">
                  <a:lumMod val="75000"/>
                </a:sysClr>
              </a:solidFill>
            </a:ln>
            <a:effectLst/>
          </c:spPr>
          <c:invertIfNegative val="0"/>
          <c:dLbls>
            <c:dLbl>
              <c:idx val="3"/>
              <c:layout>
                <c:manualLayout>
                  <c:x val="2.3490721165139771E-3"/>
                  <c:y val="-4.634257216266124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A1-4493-A640-7698225D0ED0}"/>
                </c:ext>
              </c:extLst>
            </c:dLbl>
            <c:dLbl>
              <c:idx val="5"/>
              <c:layout>
                <c:manualLayout>
                  <c:x val="-2.3490721165139771E-3"/>
                  <c:y val="-5.0556117290192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A1-4493-A640-7698225D0ED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Underretninger!$D$60:$D$65</c:f>
              <c:strCache>
                <c:ptCount val="6"/>
                <c:pt idx="0">
                  <c:v>0-2 ÅR</c:v>
                </c:pt>
                <c:pt idx="1">
                  <c:v>3-5 ÅR</c:v>
                </c:pt>
                <c:pt idx="2">
                  <c:v>6-8 ÅR</c:v>
                </c:pt>
                <c:pt idx="3">
                  <c:v>9-11 ÅR</c:v>
                </c:pt>
                <c:pt idx="4">
                  <c:v>12-14 ÅR</c:v>
                </c:pt>
                <c:pt idx="5">
                  <c:v>15-17 ÅR</c:v>
                </c:pt>
              </c:strCache>
            </c:strRef>
          </c:cat>
          <c:val>
            <c:numRef>
              <c:f>Underretninger!$F$60:$F$65</c:f>
              <c:numCache>
                <c:formatCode>0.00%</c:formatCode>
                <c:ptCount val="6"/>
                <c:pt idx="0">
                  <c:v>0.1164</c:v>
                </c:pt>
                <c:pt idx="1">
                  <c:v>0.1396</c:v>
                </c:pt>
                <c:pt idx="2">
                  <c:v>0.1154</c:v>
                </c:pt>
                <c:pt idx="3">
                  <c:v>0.1376</c:v>
                </c:pt>
                <c:pt idx="4">
                  <c:v>0.23039999999999999</c:v>
                </c:pt>
                <c:pt idx="5">
                  <c:v>0.26050000000000001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A1-4493-A640-7698225D0ED0}"/>
            </c:ext>
          </c:extLst>
        </c:ser>
        <c:ser>
          <c:idx val="2"/>
          <c:order val="2"/>
          <c:tx>
            <c:strRef>
              <c:f>Underretninger!$G$59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4.6981442330279542E-3"/>
                  <c:y val="-9.2685144325322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A1-4493-A640-7698225D0ED0}"/>
                </c:ext>
              </c:extLst>
            </c:dLbl>
            <c:dLbl>
              <c:idx val="3"/>
              <c:layout>
                <c:manualLayout>
                  <c:x val="2.3490721165139771E-3"/>
                  <c:y val="-5.0556117290191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A1-4493-A640-7698225D0ED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Underretninger!$D$60:$D$65</c:f>
              <c:strCache>
                <c:ptCount val="6"/>
                <c:pt idx="0">
                  <c:v>0-2 ÅR</c:v>
                </c:pt>
                <c:pt idx="1">
                  <c:v>3-5 ÅR</c:v>
                </c:pt>
                <c:pt idx="2">
                  <c:v>6-8 ÅR</c:v>
                </c:pt>
                <c:pt idx="3">
                  <c:v>9-11 ÅR</c:v>
                </c:pt>
                <c:pt idx="4">
                  <c:v>12-14 ÅR</c:v>
                </c:pt>
                <c:pt idx="5">
                  <c:v>15-17 ÅR</c:v>
                </c:pt>
              </c:strCache>
            </c:strRef>
          </c:cat>
          <c:val>
            <c:numRef>
              <c:f>Underretninger!$G$60:$G$65</c:f>
              <c:numCache>
                <c:formatCode>0.00%</c:formatCode>
                <c:ptCount val="6"/>
                <c:pt idx="0">
                  <c:v>0.13959500215424386</c:v>
                </c:pt>
                <c:pt idx="1">
                  <c:v>0.13227057302886686</c:v>
                </c:pt>
                <c:pt idx="2">
                  <c:v>0.14088754847048685</c:v>
                </c:pt>
                <c:pt idx="3">
                  <c:v>0.11589831968978888</c:v>
                </c:pt>
                <c:pt idx="4">
                  <c:v>0.21800947867298578</c:v>
                </c:pt>
                <c:pt idx="5">
                  <c:v>0.25333907798362776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A1-4493-A640-7698225D0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1104071"/>
        <c:axId val="51105711"/>
      </c:barChart>
      <c:catAx>
        <c:axId val="51104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1105711"/>
        <c:crosses val="autoZero"/>
        <c:auto val="1"/>
        <c:lblAlgn val="ctr"/>
        <c:lblOffset val="100"/>
        <c:noMultiLvlLbl val="0"/>
      </c:catAx>
      <c:valAx>
        <c:axId val="51105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1104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'Pivot og diagram'!$B$30</c:f>
              <c:strCache>
                <c:ptCount val="1"/>
                <c:pt idx="0">
                  <c:v>Antal underretninger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'Pivot og diagram'!$A$31:$A$36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'Pivot og diagram'!$B$31:$B$36</c:f>
              <c:numCache>
                <c:formatCode>General</c:formatCode>
                <c:ptCount val="6"/>
                <c:pt idx="0">
                  <c:v>116</c:v>
                </c:pt>
                <c:pt idx="1">
                  <c:v>164</c:v>
                </c:pt>
                <c:pt idx="2">
                  <c:v>141</c:v>
                </c:pt>
                <c:pt idx="3">
                  <c:v>221</c:v>
                </c:pt>
                <c:pt idx="4">
                  <c:v>323</c:v>
                </c:pt>
                <c:pt idx="5">
                  <c:v>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25-4B74-9108-4715358B8C8A}"/>
            </c:ext>
          </c:extLst>
        </c:ser>
        <c:ser>
          <c:idx val="1"/>
          <c:order val="1"/>
          <c:tx>
            <c:strRef>
              <c:f>'Pivot og diagram'!$C$30</c:f>
              <c:strCache>
                <c:ptCount val="1"/>
                <c:pt idx="0">
                  <c:v>Antal sager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'Pivot og diagram'!$A$31:$A$36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'Pivot og diagram'!$C$31:$C$36</c:f>
              <c:numCache>
                <c:formatCode>General</c:formatCode>
                <c:ptCount val="6"/>
                <c:pt idx="0">
                  <c:v>110</c:v>
                </c:pt>
                <c:pt idx="1">
                  <c:v>154</c:v>
                </c:pt>
                <c:pt idx="2">
                  <c:v>120</c:v>
                </c:pt>
                <c:pt idx="3">
                  <c:v>189</c:v>
                </c:pt>
                <c:pt idx="4">
                  <c:v>268</c:v>
                </c:pt>
                <c:pt idx="5">
                  <c:v>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25-4B74-9108-4715358B8C8A}"/>
            </c:ext>
          </c:extLst>
        </c:ser>
        <c:ser>
          <c:idx val="2"/>
          <c:order val="2"/>
          <c:tx>
            <c:strRef>
              <c:f>'Pivot og diagram'!$D$30</c:f>
              <c:strCache>
                <c:ptCount val="1"/>
                <c:pt idx="0">
                  <c:v>Antal aktive sager pr. 31. december 2022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'Pivot og diagram'!$A$31:$A$36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'Pivot og diagram'!$D$31:$D$36</c:f>
              <c:numCache>
                <c:formatCode>General</c:formatCode>
                <c:ptCount val="6"/>
                <c:pt idx="0">
                  <c:v>19</c:v>
                </c:pt>
                <c:pt idx="1">
                  <c:v>30</c:v>
                </c:pt>
                <c:pt idx="2">
                  <c:v>29</c:v>
                </c:pt>
                <c:pt idx="3">
                  <c:v>52</c:v>
                </c:pt>
                <c:pt idx="4">
                  <c:v>128</c:v>
                </c:pt>
                <c:pt idx="5">
                  <c:v>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25-4B74-9108-4715358B8C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449927136"/>
        <c:axId val="449925168"/>
      </c:barChart>
      <c:catAx>
        <c:axId val="44992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9925168"/>
        <c:crosses val="autoZero"/>
        <c:auto val="1"/>
        <c:lblAlgn val="ctr"/>
        <c:lblOffset val="100"/>
        <c:noMultiLvlLbl val="0"/>
      </c:catAx>
      <c:valAx>
        <c:axId val="44992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992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[Underretninger153-1-4 december.xlsx]Pivot og diagram!Pivottabel1</c:name>
    <c:fmtId val="-1"/>
  </c:pivotSource>
  <c:chart>
    <c:autoTitleDeleted val="1"/>
    <c:pivotFmts>
      <c:pivotFmt>
        <c:idx val="0"/>
        <c:spPr>
          <a:solidFill>
            <a:schemeClr val="accent6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4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</c:pivotFmt>
      <c:pivotFmt>
        <c:idx val="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</c:pivotFmt>
      <c:pivotFmt>
        <c:idx val="5"/>
        <c:spPr>
          <a:solidFill>
            <a:schemeClr val="accent2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6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5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4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2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6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5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4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2"/>
          </a:soli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'Pivot og diagram'!$B$1:$B$2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-5.03968753937260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B5-4DF8-A924-B4EB95646954}"/>
                </c:ext>
              </c:extLst>
            </c:dLbl>
            <c:dLbl>
              <c:idx val="2"/>
              <c:layout>
                <c:manualLayout>
                  <c:x val="-2.51984376968632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B5-4DF8-A924-B4EB95646954}"/>
                </c:ext>
              </c:extLst>
            </c:dLbl>
            <c:dLbl>
              <c:idx val="4"/>
              <c:layout>
                <c:manualLayout>
                  <c:x val="-7.5595313090589308E-3"/>
                  <c:y val="2.2401433691756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B5-4DF8-A924-B4EB95646954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'Pivot og diagram'!$A$3:$A$8</c:f>
              <c:strCache>
                <c:ptCount val="6"/>
                <c:pt idx="0">
                  <c:v>0-2</c:v>
                </c:pt>
                <c:pt idx="1">
                  <c:v>3-5</c:v>
                </c:pt>
                <c:pt idx="2">
                  <c:v>6-8</c:v>
                </c:pt>
                <c:pt idx="3">
                  <c:v>9-11</c:v>
                </c:pt>
                <c:pt idx="4">
                  <c:v>12-14</c:v>
                </c:pt>
                <c:pt idx="5">
                  <c:v>15-17</c:v>
                </c:pt>
              </c:strCache>
            </c:strRef>
          </c:cat>
          <c:val>
            <c:numRef>
              <c:f>'Pivot og diagram'!$B$3:$B$8</c:f>
              <c:numCache>
                <c:formatCode>0.00%</c:formatCode>
                <c:ptCount val="6"/>
                <c:pt idx="0">
                  <c:v>0</c:v>
                </c:pt>
                <c:pt idx="1">
                  <c:v>0.25423728813559321</c:v>
                </c:pt>
                <c:pt idx="2">
                  <c:v>0.28813559322033899</c:v>
                </c:pt>
                <c:pt idx="3">
                  <c:v>0.2711864406779661</c:v>
                </c:pt>
                <c:pt idx="4">
                  <c:v>0.11864406779661017</c:v>
                </c:pt>
                <c:pt idx="5">
                  <c:v>6.7796610169491525E-2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A6-4327-85FC-4D94FC2FE144}"/>
            </c:ext>
          </c:extLst>
        </c:ser>
        <c:ser>
          <c:idx val="1"/>
          <c:order val="1"/>
          <c:tx>
            <c:strRef>
              <c:f>'Pivot og diagram'!$C$1:$C$2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-1.2599218848431397E-2"/>
                  <c:y val="-1.026720516775805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B5-4DF8-A924-B4EB95646954}"/>
                </c:ext>
              </c:extLst>
            </c:dLbl>
            <c:dLbl>
              <c:idx val="2"/>
              <c:layout>
                <c:manualLayout>
                  <c:x val="2.5198437696863254E-3"/>
                  <c:y val="-2.053441033551611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B5-4DF8-A924-B4EB95646954}"/>
                </c:ext>
              </c:extLst>
            </c:dLbl>
            <c:dLbl>
              <c:idx val="4"/>
              <c:layout>
                <c:manualLayout>
                  <c:x val="-5.03968753937265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B5-4DF8-A924-B4EB95646954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'Pivot og diagram'!$A$3:$A$8</c:f>
              <c:strCache>
                <c:ptCount val="6"/>
                <c:pt idx="0">
                  <c:v>0-2</c:v>
                </c:pt>
                <c:pt idx="1">
                  <c:v>3-5</c:v>
                </c:pt>
                <c:pt idx="2">
                  <c:v>6-8</c:v>
                </c:pt>
                <c:pt idx="3">
                  <c:v>9-11</c:v>
                </c:pt>
                <c:pt idx="4">
                  <c:v>12-14</c:v>
                </c:pt>
                <c:pt idx="5">
                  <c:v>15-17</c:v>
                </c:pt>
              </c:strCache>
            </c:strRef>
          </c:cat>
          <c:val>
            <c:numRef>
              <c:f>'Pivot og diagram'!$C$3:$C$8</c:f>
              <c:numCache>
                <c:formatCode>0.00%</c:formatCode>
                <c:ptCount val="6"/>
                <c:pt idx="0">
                  <c:v>0.10407239819004525</c:v>
                </c:pt>
                <c:pt idx="1">
                  <c:v>0.30769230769230771</c:v>
                </c:pt>
                <c:pt idx="2">
                  <c:v>0.29411764705882354</c:v>
                </c:pt>
                <c:pt idx="3">
                  <c:v>0.13122171945701358</c:v>
                </c:pt>
                <c:pt idx="4">
                  <c:v>0.12217194570135746</c:v>
                </c:pt>
                <c:pt idx="5">
                  <c:v>4.072398190045249E-2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A6-4327-85FC-4D94FC2FE144}"/>
            </c:ext>
          </c:extLst>
        </c:ser>
        <c:ser>
          <c:idx val="2"/>
          <c:order val="2"/>
          <c:tx>
            <c:strRef>
              <c:f>'Pivot og diagram'!$D$1:$D$2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dLbl>
              <c:idx val="4"/>
              <c:layout>
                <c:manualLayout>
                  <c:x val="-7.5595313090588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9B5-4DF8-A924-B4EB95646954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'Pivot og diagram'!$A$3:$A$8</c:f>
              <c:strCache>
                <c:ptCount val="6"/>
                <c:pt idx="0">
                  <c:v>0-2</c:v>
                </c:pt>
                <c:pt idx="1">
                  <c:v>3-5</c:v>
                </c:pt>
                <c:pt idx="2">
                  <c:v>6-8</c:v>
                </c:pt>
                <c:pt idx="3">
                  <c:v>9-11</c:v>
                </c:pt>
                <c:pt idx="4">
                  <c:v>12-14</c:v>
                </c:pt>
                <c:pt idx="5">
                  <c:v>15-17</c:v>
                </c:pt>
              </c:strCache>
            </c:strRef>
          </c:cat>
          <c:val>
            <c:numRef>
              <c:f>'Pivot og diagram'!$D$3:$D$8</c:f>
              <c:numCache>
                <c:formatCode>0.00%</c:formatCode>
                <c:ptCount val="6"/>
                <c:pt idx="0">
                  <c:v>9.2879256965944276E-2</c:v>
                </c:pt>
                <c:pt idx="1">
                  <c:v>0.32198142414860681</c:v>
                </c:pt>
                <c:pt idx="2">
                  <c:v>0.19195046439628483</c:v>
                </c:pt>
                <c:pt idx="3">
                  <c:v>0.15789473684210525</c:v>
                </c:pt>
                <c:pt idx="4">
                  <c:v>0.14241486068111456</c:v>
                </c:pt>
                <c:pt idx="5">
                  <c:v>9.2879256965944276E-2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A6-4327-85FC-4D94FC2FE144}"/>
            </c:ext>
          </c:extLst>
        </c:ser>
        <c:ser>
          <c:idx val="3"/>
          <c:order val="3"/>
          <c:tx>
            <c:strRef>
              <c:f>'Pivot og diagram'!$E$1:$E$2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5.039687539372558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B5-4DF8-A924-B4EB95646954}"/>
                </c:ext>
              </c:extLst>
            </c:dLbl>
            <c:dLbl>
              <c:idx val="3"/>
              <c:layout>
                <c:manualLayout>
                  <c:x val="1.00793750787451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B5-4DF8-A924-B4EB95646954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'Pivot og diagram'!$A$3:$A$8</c:f>
              <c:strCache>
                <c:ptCount val="6"/>
                <c:pt idx="0">
                  <c:v>0-2</c:v>
                </c:pt>
                <c:pt idx="1">
                  <c:v>3-5</c:v>
                </c:pt>
                <c:pt idx="2">
                  <c:v>6-8</c:v>
                </c:pt>
                <c:pt idx="3">
                  <c:v>9-11</c:v>
                </c:pt>
                <c:pt idx="4">
                  <c:v>12-14</c:v>
                </c:pt>
                <c:pt idx="5">
                  <c:v>15-17</c:v>
                </c:pt>
              </c:strCache>
            </c:strRef>
          </c:cat>
          <c:val>
            <c:numRef>
              <c:f>'Pivot og diagram'!$E$3:$E$8</c:f>
              <c:numCache>
                <c:formatCode>0.00%</c:formatCode>
                <c:ptCount val="6"/>
                <c:pt idx="0">
                  <c:v>0.11212814645308924</c:v>
                </c:pt>
                <c:pt idx="1">
                  <c:v>0.2608695652173913</c:v>
                </c:pt>
                <c:pt idx="2">
                  <c:v>0.21739130434782608</c:v>
                </c:pt>
                <c:pt idx="3">
                  <c:v>0.13501144164759726</c:v>
                </c:pt>
                <c:pt idx="4">
                  <c:v>0.16475972540045766</c:v>
                </c:pt>
                <c:pt idx="5">
                  <c:v>0.10983981693363844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A6-4327-85FC-4D94FC2FE1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49919264"/>
        <c:axId val="449917952"/>
      </c:barChart>
      <c:catAx>
        <c:axId val="44991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9917952"/>
        <c:crosses val="autoZero"/>
        <c:auto val="1"/>
        <c:lblAlgn val="ctr"/>
        <c:lblOffset val="100"/>
        <c:noMultiLvlLbl val="0"/>
      </c:catAx>
      <c:valAx>
        <c:axId val="44991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991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da-DK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v>Total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2"/>
              <c:pt idx="0">
                <c:v>6</c:v>
              </c:pt>
              <c:pt idx="1">
                <c:v>7</c:v>
              </c:pt>
              <c:pt idx="2">
                <c:v>8</c:v>
              </c:pt>
              <c:pt idx="3">
                <c:v>9</c:v>
              </c:pt>
              <c:pt idx="4">
                <c:v>10</c:v>
              </c:pt>
              <c:pt idx="5">
                <c:v>11</c:v>
              </c:pt>
              <c:pt idx="6">
                <c:v>12</c:v>
              </c:pt>
              <c:pt idx="7">
                <c:v>13</c:v>
              </c:pt>
              <c:pt idx="8">
                <c:v>14</c:v>
              </c:pt>
              <c:pt idx="9">
                <c:v>15</c:v>
              </c:pt>
              <c:pt idx="10">
                <c:v>16</c:v>
              </c:pt>
              <c:pt idx="11">
                <c:v>17</c:v>
              </c:pt>
            </c:strLit>
          </c:cat>
          <c:val>
            <c:numLit>
              <c:formatCode>General</c:formatCode>
              <c:ptCount val="12"/>
              <c:pt idx="0">
                <c:v>6</c:v>
              </c:pt>
              <c:pt idx="1">
                <c:v>14</c:v>
              </c:pt>
              <c:pt idx="2">
                <c:v>19</c:v>
              </c:pt>
              <c:pt idx="3">
                <c:v>8</c:v>
              </c:pt>
              <c:pt idx="4">
                <c:v>8</c:v>
              </c:pt>
              <c:pt idx="5">
                <c:v>6</c:v>
              </c:pt>
              <c:pt idx="6">
                <c:v>6</c:v>
              </c:pt>
              <c:pt idx="7">
                <c:v>5</c:v>
              </c:pt>
              <c:pt idx="8">
                <c:v>13</c:v>
              </c:pt>
              <c:pt idx="9">
                <c:v>6</c:v>
              </c:pt>
              <c:pt idx="10">
                <c:v>5</c:v>
              </c:pt>
              <c:pt idx="11">
                <c:v>4</c:v>
              </c:pt>
            </c:numLit>
          </c:val>
          <c:extLst>
            <c:ext xmlns:c16="http://schemas.microsoft.com/office/drawing/2014/chart" uri="{C3380CC4-5D6E-409C-BE32-E72D297353CC}">
              <c16:uniqueId val="{00000000-AB87-4CBD-B5E6-2345636F8F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41739984"/>
        <c:axId val="950879120"/>
      </c:barChart>
      <c:catAx>
        <c:axId val="941739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Alder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950879120"/>
        <c:crosses val="autoZero"/>
        <c:auto val="1"/>
        <c:lblAlgn val="ctr"/>
        <c:lblOffset val="100"/>
        <c:noMultiLvlLbl val="0"/>
      </c:catAx>
      <c:valAx>
        <c:axId val="95087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Antal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94173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  <c:extLst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'Befolkning og underretninger'!$H$27</c:f>
              <c:strCache>
                <c:ptCount val="1"/>
                <c:pt idx="0">
                  <c:v>Andel børn med underretning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'Befolkning og underretninger'!$G$28:$G$36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'Befolkning og underretninger'!$H$28:$H$36</c:f>
              <c:numCache>
                <c:formatCode>0.0%</c:formatCode>
                <c:ptCount val="9"/>
                <c:pt idx="0">
                  <c:v>5.0953702874541061E-2</c:v>
                </c:pt>
                <c:pt idx="1">
                  <c:v>5.0718814179837486E-2</c:v>
                </c:pt>
                <c:pt idx="2">
                  <c:v>5.9018152552982206E-2</c:v>
                </c:pt>
                <c:pt idx="3">
                  <c:v>6.8323542702214191E-2</c:v>
                </c:pt>
                <c:pt idx="4">
                  <c:v>8.2033032210968151E-2</c:v>
                </c:pt>
                <c:pt idx="5">
                  <c:v>9.2171371151913761E-2</c:v>
                </c:pt>
                <c:pt idx="6">
                  <c:v>9.0720159031354483E-2</c:v>
                </c:pt>
                <c:pt idx="7">
                  <c:v>0.10112359550561797</c:v>
                </c:pt>
                <c:pt idx="8">
                  <c:v>0.10787597698187752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03-48B5-8114-5C3AB2EEDFBA}"/>
            </c:ext>
          </c:extLst>
        </c:ser>
        <c:ser>
          <c:idx val="1"/>
          <c:order val="1"/>
          <c:tx>
            <c:strRef>
              <c:f>'Befolkning og underretninger'!$I$27</c:f>
              <c:strCache>
                <c:ptCount val="1"/>
                <c:pt idx="0">
                  <c:v>Andel børn med Underretning § 153, stk 1, nr 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'Befolkning og underretninger'!$G$28:$G$36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'Befolkning og underretninger'!$I$28:$I$36</c:f>
              <c:numCache>
                <c:formatCode>0.0%</c:formatCode>
                <c:ptCount val="9"/>
                <c:pt idx="0">
                  <c:v>1.7909913136921285E-3</c:v>
                </c:pt>
                <c:pt idx="1">
                  <c:v>4.0182159121350119E-3</c:v>
                </c:pt>
                <c:pt idx="2">
                  <c:v>8.2267727801126709E-3</c:v>
                </c:pt>
                <c:pt idx="3">
                  <c:v>9.9412562132851334E-3</c:v>
                </c:pt>
                <c:pt idx="4">
                  <c:v>1.4052377041700885E-2</c:v>
                </c:pt>
                <c:pt idx="5">
                  <c:v>1.0961907371882707E-2</c:v>
                </c:pt>
                <c:pt idx="6">
                  <c:v>1.7077798861480076E-2</c:v>
                </c:pt>
                <c:pt idx="7">
                  <c:v>2.3710519331151023E-2</c:v>
                </c:pt>
                <c:pt idx="8">
                  <c:v>2.7656102379111914E-2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03-48B5-8114-5C3AB2EEDFB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060858704"/>
        <c:axId val="1060867888"/>
      </c:lineChart>
      <c:catAx>
        <c:axId val="106085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60867888"/>
        <c:crosses val="autoZero"/>
        <c:auto val="1"/>
        <c:lblAlgn val="ctr"/>
        <c:lblOffset val="100"/>
        <c:noMultiLvlLbl val="0"/>
      </c:catAx>
      <c:valAx>
        <c:axId val="106086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6085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AC3B-5D59-4E46-A7E8-A24D8D31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1707</Words>
  <Characters>8816</Characters>
  <Application>Microsoft Office Word</Application>
  <DocSecurity>0</DocSecurity>
  <Lines>419</Lines>
  <Paragraphs>328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Underretninger 2021</vt:lpstr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Underretninger 2021</dc:title>
  <dc:creator>thomassoe</dc:creator>
  <cp:lastModifiedBy>Thomas Vaaben Søgaard</cp:lastModifiedBy>
  <cp:revision>2</cp:revision>
  <cp:lastPrinted>2022-06-23T10:35:00Z</cp:lastPrinted>
  <dcterms:created xsi:type="dcterms:W3CDTF">2023-01-30T13:38:00Z</dcterms:created>
  <dcterms:modified xsi:type="dcterms:W3CDTF">2023-01-30T13:38:00Z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{F43B16F5-72EC-4C3F-ACCD-EC9680971923}</vt:lpwstr>
  </property>
</Properties>
</file>